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C3" w:rsidRDefault="005B66F3">
      <w:pPr>
        <w:spacing w:line="400" w:lineRule="exact"/>
        <w:jc w:val="center"/>
        <w:rPr>
          <w:rFonts w:ascii="楷体_GB2312" w:eastAsia="楷体_GB2312"/>
          <w:b/>
          <w:bCs/>
          <w:sz w:val="30"/>
        </w:rPr>
      </w:pPr>
      <w:r>
        <w:rPr>
          <w:rFonts w:ascii="楷体_GB2312" w:eastAsia="楷体_GB2312" w:hint="eastAsia"/>
          <w:b/>
          <w:bCs/>
          <w:sz w:val="30"/>
        </w:rPr>
        <w:t>《毒理学基础和应用》课程进度表</w:t>
      </w:r>
    </w:p>
    <w:p w:rsidR="00BD40C3" w:rsidRDefault="00BD40C3">
      <w:pPr>
        <w:spacing w:line="400" w:lineRule="exact"/>
        <w:jc w:val="center"/>
        <w:rPr>
          <w:rFonts w:ascii="楷体_GB2312" w:eastAsia="楷体_GB2312"/>
          <w:b/>
          <w:bCs/>
          <w:sz w:val="30"/>
        </w:rPr>
      </w:pPr>
    </w:p>
    <w:p w:rsidR="00BD40C3" w:rsidRDefault="005B66F3">
      <w:pPr>
        <w:rPr>
          <w:rFonts w:ascii="宋体" w:hAnsi="宋体" w:cs="宋体"/>
          <w:color w:val="FF0000"/>
          <w:sz w:val="24"/>
        </w:rPr>
      </w:pPr>
      <w:r>
        <w:rPr>
          <w:sz w:val="24"/>
        </w:rPr>
        <w:t>英文：</w:t>
      </w:r>
      <w:r>
        <w:rPr>
          <w:sz w:val="24"/>
        </w:rPr>
        <w:t>The Principle and Application of Toxicology</w:t>
      </w:r>
    </w:p>
    <w:p w:rsidR="00BD40C3" w:rsidRDefault="005B66F3">
      <w:pPr>
        <w:pStyle w:val="a3"/>
        <w:spacing w:line="360" w:lineRule="auto"/>
      </w:pPr>
      <w:r>
        <w:t>课程负责人：陈雯教授</w:t>
      </w:r>
    </w:p>
    <w:p w:rsidR="00BD40C3" w:rsidRDefault="005B66F3">
      <w:pPr>
        <w:pStyle w:val="a3"/>
        <w:spacing w:line="360" w:lineRule="auto"/>
        <w:rPr>
          <w:rFonts w:hint="eastAsia"/>
        </w:rPr>
      </w:pPr>
      <w:r>
        <w:t>上课时间及地点：</w:t>
      </w:r>
      <w:r>
        <w:t>201</w:t>
      </w:r>
      <w:r>
        <w:rPr>
          <w:rFonts w:hint="eastAsia"/>
        </w:rPr>
        <w:t>7</w:t>
      </w:r>
      <w:r>
        <w:t>年</w:t>
      </w:r>
      <w:r>
        <w:rPr>
          <w:rFonts w:hint="eastAsia"/>
        </w:rPr>
        <w:t>4</w:t>
      </w:r>
      <w:r>
        <w:t>月</w:t>
      </w:r>
      <w:r>
        <w:rPr>
          <w:rFonts w:hint="eastAsia"/>
        </w:rPr>
        <w:t>18</w:t>
      </w:r>
      <w:r>
        <w:t>日</w:t>
      </w:r>
      <w:r>
        <w:t xml:space="preserve">- </w:t>
      </w:r>
      <w:r>
        <w:rPr>
          <w:rFonts w:hint="eastAsia"/>
        </w:rPr>
        <w:t>6</w:t>
      </w:r>
      <w:r>
        <w:t>月</w:t>
      </w:r>
      <w:r>
        <w:rPr>
          <w:rFonts w:hint="eastAsia"/>
        </w:rPr>
        <w:t>15</w:t>
      </w:r>
      <w:r>
        <w:t>日</w:t>
      </w:r>
      <w:r>
        <w:rPr>
          <w:rFonts w:hint="eastAsia"/>
        </w:rPr>
        <w:t>；公共</w:t>
      </w:r>
      <w:r>
        <w:t>卫生学院</w:t>
      </w:r>
      <w:r>
        <w:rPr>
          <w:rFonts w:hint="eastAsia"/>
        </w:rPr>
        <w:t>8</w:t>
      </w:r>
      <w:r>
        <w:rPr>
          <w:rFonts w:hint="eastAsia"/>
        </w:rPr>
        <w:t>楼</w:t>
      </w:r>
      <w:r>
        <w:t>会议室</w:t>
      </w:r>
      <w:bookmarkStart w:id="0" w:name="_GoBack"/>
      <w:bookmarkEnd w:id="0"/>
    </w:p>
    <w:p w:rsidR="00BD40C3" w:rsidRDefault="005B66F3">
      <w:pPr>
        <w:pStyle w:val="a3"/>
        <w:tabs>
          <w:tab w:val="left" w:pos="2700"/>
        </w:tabs>
        <w:spacing w:line="360" w:lineRule="auto"/>
      </w:pPr>
      <w:r>
        <w:t>授课对象：</w:t>
      </w:r>
      <w:r>
        <w:t>201</w:t>
      </w:r>
      <w:r>
        <w:rPr>
          <w:rFonts w:hint="eastAsia"/>
        </w:rPr>
        <w:t>6</w:t>
      </w:r>
      <w:r>
        <w:t>级硕士研究生</w:t>
      </w:r>
    </w:p>
    <w:p w:rsidR="00BD40C3" w:rsidRDefault="005B66F3">
      <w:pPr>
        <w:pStyle w:val="a3"/>
        <w:tabs>
          <w:tab w:val="left" w:pos="2700"/>
        </w:tabs>
        <w:spacing w:line="360" w:lineRule="auto"/>
      </w:pPr>
      <w:r>
        <w:t>课程类别（专业必修课、选修课）：</w:t>
      </w:r>
      <w:r>
        <w:rPr>
          <w:rFonts w:hint="eastAsia"/>
        </w:rPr>
        <w:t>专业必修</w:t>
      </w:r>
      <w:r>
        <w:t>课</w:t>
      </w:r>
    </w:p>
    <w:p w:rsidR="00BD40C3" w:rsidRDefault="005B66F3">
      <w:pPr>
        <w:pStyle w:val="a3"/>
        <w:tabs>
          <w:tab w:val="left" w:pos="2700"/>
        </w:tabs>
        <w:spacing w:line="360" w:lineRule="auto"/>
      </w:pPr>
      <w:r>
        <w:rPr>
          <w:rFonts w:hint="eastAsia"/>
        </w:rPr>
        <w:t>考核方式：</w:t>
      </w:r>
      <w:r>
        <w:t>闭</w:t>
      </w:r>
      <w:r>
        <w:rPr>
          <w:rFonts w:hint="eastAsia"/>
        </w:rPr>
        <w:t>卷考试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33"/>
        <w:gridCol w:w="630"/>
        <w:gridCol w:w="720"/>
        <w:gridCol w:w="3600"/>
        <w:gridCol w:w="900"/>
        <w:gridCol w:w="2471"/>
      </w:tblGrid>
      <w:tr w:rsidR="00BD40C3">
        <w:trPr>
          <w:trHeight w:val="720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日</w:t>
            </w:r>
          </w:p>
          <w:p w:rsidR="00BD40C3" w:rsidRDefault="005B66F3">
            <w:pPr>
              <w:spacing w:line="44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期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周</w:t>
            </w:r>
          </w:p>
          <w:p w:rsidR="00BD40C3" w:rsidRDefault="005B66F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次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星</w:t>
            </w:r>
          </w:p>
          <w:p w:rsidR="00BD40C3" w:rsidRDefault="005B66F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期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节次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理论课</w:t>
            </w:r>
          </w:p>
        </w:tc>
        <w:tc>
          <w:tcPr>
            <w:tcW w:w="9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实验课</w:t>
            </w: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授课教师</w:t>
            </w:r>
          </w:p>
        </w:tc>
      </w:tr>
      <w:tr w:rsidR="00BD40C3">
        <w:trPr>
          <w:cantSplit/>
          <w:trHeight w:val="343"/>
          <w:jc w:val="center"/>
        </w:trPr>
        <w:tc>
          <w:tcPr>
            <w:tcW w:w="716" w:type="dxa"/>
            <w:vMerge w:val="restart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4.18</w:t>
            </w:r>
          </w:p>
        </w:tc>
        <w:tc>
          <w:tcPr>
            <w:tcW w:w="533" w:type="dxa"/>
            <w:vMerge w:val="restart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30" w:type="dxa"/>
            <w:vMerge w:val="restart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1-2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绪论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陈雯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教授</w:t>
            </w:r>
          </w:p>
        </w:tc>
      </w:tr>
      <w:tr w:rsidR="00BD40C3">
        <w:trPr>
          <w:trHeight w:val="360"/>
          <w:jc w:val="center"/>
        </w:trPr>
        <w:tc>
          <w:tcPr>
            <w:tcW w:w="716" w:type="dxa"/>
            <w:vMerge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30" w:type="dxa"/>
            <w:vMerge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3-5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一般毒性试验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肖勇梅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教授</w:t>
            </w:r>
          </w:p>
        </w:tc>
      </w:tr>
      <w:tr w:rsidR="00BD40C3">
        <w:trPr>
          <w:trHeight w:val="343"/>
          <w:jc w:val="center"/>
        </w:trPr>
        <w:tc>
          <w:tcPr>
            <w:tcW w:w="716" w:type="dxa"/>
            <w:vMerge w:val="restart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4.20</w:t>
            </w:r>
          </w:p>
        </w:tc>
        <w:tc>
          <w:tcPr>
            <w:tcW w:w="533" w:type="dxa"/>
            <w:vMerge w:val="restart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30" w:type="dxa"/>
            <w:vMerge w:val="restart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1-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特殊毒性试验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肖勇梅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教授</w:t>
            </w:r>
          </w:p>
        </w:tc>
      </w:tr>
      <w:tr w:rsidR="00BD40C3">
        <w:trPr>
          <w:trHeight w:val="343"/>
          <w:jc w:val="center"/>
        </w:trPr>
        <w:tc>
          <w:tcPr>
            <w:tcW w:w="716" w:type="dxa"/>
            <w:vMerge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30" w:type="dxa"/>
            <w:vMerge/>
          </w:tcPr>
          <w:p w:rsidR="00BD40C3" w:rsidRDefault="00BD40C3">
            <w:pPr>
              <w:spacing w:line="4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毒作用机制研究进展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何云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教授</w:t>
            </w:r>
          </w:p>
        </w:tc>
      </w:tr>
      <w:tr w:rsidR="00BD40C3">
        <w:trPr>
          <w:trHeight w:val="422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bookmarkStart w:id="1" w:name="_Hlk377987131"/>
            <w:r>
              <w:rPr>
                <w:rFonts w:hint="eastAsia"/>
                <w:szCs w:val="21"/>
              </w:rPr>
              <w:t>4.25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细胞癌变机制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张波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副教授</w:t>
            </w:r>
          </w:p>
        </w:tc>
      </w:tr>
      <w:bookmarkEnd w:id="1"/>
      <w:tr w:rsidR="00BD40C3">
        <w:trPr>
          <w:trHeight w:val="165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4.27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外源性化学物安全性评价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肖勇梅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教授</w:t>
            </w:r>
          </w:p>
        </w:tc>
      </w:tr>
      <w:tr w:rsidR="00BD40C3">
        <w:trPr>
          <w:trHeight w:val="360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5.2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毒理学研究中常用的思路和方法</w:t>
            </w:r>
          </w:p>
        </w:tc>
        <w:tc>
          <w:tcPr>
            <w:tcW w:w="900" w:type="dxa"/>
            <w:vAlign w:val="center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何云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教授</w:t>
            </w:r>
          </w:p>
        </w:tc>
      </w:tr>
      <w:tr w:rsidR="00BD40C3">
        <w:trPr>
          <w:trHeight w:val="343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5.4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TOX21</w:t>
            </w:r>
            <w:r>
              <w:rPr>
                <w:rFonts w:hAnsi="宋体" w:hint="eastAsia"/>
                <w:szCs w:val="21"/>
              </w:rPr>
              <w:t>：从理论到实践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张波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副</w:t>
            </w:r>
            <w:r>
              <w:rPr>
                <w:rFonts w:hAnsi="宋体"/>
                <w:szCs w:val="21"/>
              </w:rPr>
              <w:t>教授</w:t>
            </w:r>
          </w:p>
        </w:tc>
      </w:tr>
      <w:tr w:rsidR="00BD40C3">
        <w:trPr>
          <w:trHeight w:val="343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5.9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替代毒理学方法的研究进展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李道传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研究员</w:t>
            </w:r>
          </w:p>
        </w:tc>
      </w:tr>
      <w:tr w:rsidR="00BD40C3">
        <w:trPr>
          <w:trHeight w:val="369"/>
          <w:jc w:val="center"/>
        </w:trPr>
        <w:tc>
          <w:tcPr>
            <w:tcW w:w="716" w:type="dxa"/>
            <w:vMerge w:val="restart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bookmarkStart w:id="2" w:name="_Hlk377987175"/>
            <w:r>
              <w:rPr>
                <w:rFonts w:hint="eastAsia"/>
                <w:szCs w:val="21"/>
              </w:rPr>
              <w:t>5.11</w:t>
            </w:r>
          </w:p>
        </w:tc>
        <w:bookmarkEnd w:id="2"/>
        <w:tc>
          <w:tcPr>
            <w:tcW w:w="533" w:type="dxa"/>
            <w:vMerge w:val="restart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30" w:type="dxa"/>
            <w:vMerge w:val="restart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临床毒理学研究</w:t>
            </w:r>
            <w:r>
              <w:rPr>
                <w:rFonts w:hAnsi="宋体" w:hint="eastAsia"/>
                <w:szCs w:val="21"/>
              </w:rPr>
              <w:t>策略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王庆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</w:tr>
      <w:tr w:rsidR="00BD40C3">
        <w:trPr>
          <w:trHeight w:val="165"/>
          <w:jc w:val="center"/>
        </w:trPr>
        <w:tc>
          <w:tcPr>
            <w:tcW w:w="716" w:type="dxa"/>
            <w:vMerge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30" w:type="dxa"/>
            <w:vMerge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hyperlink r:id="rId5" w:history="1">
              <w:r>
                <w:rPr>
                  <w:rFonts w:hAnsi="宋体"/>
                  <w:szCs w:val="21"/>
                </w:rPr>
                <w:t>新药临床前毒理学评价</w:t>
              </w:r>
            </w:hyperlink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王庆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</w:tr>
      <w:tr w:rsidR="00BD40C3">
        <w:trPr>
          <w:trHeight w:val="165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5.16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辐射的损伤和防护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王庆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</w:tr>
      <w:tr w:rsidR="00BD40C3">
        <w:trPr>
          <w:trHeight w:val="692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5.18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276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基因敲除和转基因动物</w:t>
            </w:r>
          </w:p>
          <w:p w:rsidR="00BD40C3" w:rsidRDefault="005B66F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在毒理学</w:t>
            </w:r>
            <w:r>
              <w:rPr>
                <w:rFonts w:hAnsi="宋体" w:hint="eastAsia"/>
                <w:szCs w:val="21"/>
              </w:rPr>
              <w:t>研究</w:t>
            </w:r>
            <w:r>
              <w:rPr>
                <w:rFonts w:hAnsi="宋体"/>
                <w:szCs w:val="21"/>
              </w:rPr>
              <w:t>中的应用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何云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教授</w:t>
            </w:r>
          </w:p>
        </w:tc>
      </w:tr>
      <w:tr w:rsidR="00BD40C3">
        <w:trPr>
          <w:trHeight w:val="360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5.23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生物信息学在</w:t>
            </w:r>
            <w:r>
              <w:rPr>
                <w:rFonts w:hAnsi="宋体"/>
                <w:szCs w:val="21"/>
              </w:rPr>
              <w:t>毒理研究中的</w:t>
            </w:r>
            <w:r>
              <w:rPr>
                <w:rFonts w:hAnsi="宋体" w:hint="eastAsia"/>
                <w:szCs w:val="21"/>
              </w:rPr>
              <w:t>意义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王庆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</w:tr>
      <w:tr w:rsidR="00BD40C3">
        <w:trPr>
          <w:trHeight w:val="360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5.25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暴露组学及研究策略</w:t>
            </w:r>
          </w:p>
          <w:p w:rsidR="00BD40C3" w:rsidRDefault="005B66F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在化学物风险评估中的作用</w:t>
            </w:r>
          </w:p>
        </w:tc>
        <w:tc>
          <w:tcPr>
            <w:tcW w:w="900" w:type="dxa"/>
            <w:vAlign w:val="center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曾晓雯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</w:tr>
      <w:tr w:rsidR="00BD40C3">
        <w:trPr>
          <w:trHeight w:val="360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代谢组学技术在</w:t>
            </w:r>
            <w:r>
              <w:rPr>
                <w:rFonts w:hAnsi="宋体"/>
                <w:szCs w:val="21"/>
              </w:rPr>
              <w:t>毒理学中的</w:t>
            </w:r>
            <w:r>
              <w:rPr>
                <w:rFonts w:hAnsi="宋体" w:hint="eastAsia"/>
                <w:szCs w:val="21"/>
              </w:rPr>
              <w:t>研究进展</w:t>
            </w:r>
          </w:p>
        </w:tc>
        <w:tc>
          <w:tcPr>
            <w:tcW w:w="900" w:type="dxa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陈丽萍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讲师</w:t>
            </w:r>
          </w:p>
        </w:tc>
      </w:tr>
      <w:tr w:rsidR="00BD40C3">
        <w:trPr>
          <w:trHeight w:val="343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6.6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肠道菌群与环境化学物代谢</w:t>
            </w:r>
          </w:p>
        </w:tc>
        <w:tc>
          <w:tcPr>
            <w:tcW w:w="900" w:type="dxa"/>
            <w:vAlign w:val="center"/>
          </w:tcPr>
          <w:p w:rsidR="00BD40C3" w:rsidRDefault="00BD40C3">
            <w:pPr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陈雯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教授</w:t>
            </w:r>
          </w:p>
        </w:tc>
      </w:tr>
      <w:tr w:rsidR="00BD40C3">
        <w:trPr>
          <w:trHeight w:val="360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6.8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</w:t>
            </w:r>
            <w:r>
              <w:rPr>
                <w:szCs w:val="21"/>
              </w:rPr>
              <w:t>表观遗传学研究策略</w:t>
            </w:r>
          </w:p>
        </w:tc>
        <w:tc>
          <w:tcPr>
            <w:tcW w:w="900" w:type="dxa"/>
            <w:vAlign w:val="center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</w:tr>
      <w:tr w:rsidR="00BD40C3">
        <w:trPr>
          <w:trHeight w:val="360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6.13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人群</w:t>
            </w:r>
            <w:r>
              <w:rPr>
                <w:rFonts w:hAnsi="宋体"/>
                <w:szCs w:val="21"/>
              </w:rPr>
              <w:t>流行病学研究方法与策略</w:t>
            </w:r>
          </w:p>
        </w:tc>
        <w:tc>
          <w:tcPr>
            <w:tcW w:w="900" w:type="dxa"/>
            <w:vAlign w:val="center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陈裕明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教授</w:t>
            </w:r>
          </w:p>
        </w:tc>
      </w:tr>
      <w:tr w:rsidR="00BD40C3">
        <w:trPr>
          <w:trHeight w:val="360"/>
          <w:jc w:val="center"/>
        </w:trPr>
        <w:tc>
          <w:tcPr>
            <w:tcW w:w="716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6.15</w:t>
            </w:r>
          </w:p>
        </w:tc>
        <w:tc>
          <w:tcPr>
            <w:tcW w:w="533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3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1-5</w:t>
            </w:r>
          </w:p>
        </w:tc>
        <w:tc>
          <w:tcPr>
            <w:tcW w:w="3600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考试</w:t>
            </w:r>
          </w:p>
        </w:tc>
        <w:tc>
          <w:tcPr>
            <w:tcW w:w="900" w:type="dxa"/>
            <w:vAlign w:val="center"/>
          </w:tcPr>
          <w:p w:rsidR="00BD40C3" w:rsidRDefault="00BD40C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BD40C3" w:rsidRDefault="005B66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陈雯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教授</w:t>
            </w:r>
          </w:p>
        </w:tc>
      </w:tr>
    </w:tbl>
    <w:p w:rsidR="00BD40C3" w:rsidRDefault="00BD40C3">
      <w:pPr>
        <w:spacing w:line="460" w:lineRule="exact"/>
        <w:rPr>
          <w:sz w:val="24"/>
        </w:rPr>
      </w:pPr>
    </w:p>
    <w:sectPr w:rsidR="00BD40C3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OutStyle" w:val="&lt;KingyeeWXW&gt;&lt;OutStyle OutStyleID=&quot;&quot;&gt;&lt;CiteStyle Type=&quot;&quot; NumedType=&quot;&quot; SortType=&quot;&quot; StartNumber=&quot;&quot;/&gt;&lt;BiblStyle SortType=&quot;&quot; LayoutTempl=&quot;&quot; AbType=&quot;&quot; Title=&quot;&quot; AbCharCount=&quot;&quot;/&gt;&lt;CiteTempl Template=&quot;&quot; Positions=&quot;&quot; Is2Year=&quot;&quot; Startstr=&quot;&quot; EndStr=&quot;&quot; Separator=&quot;&quot;/&gt;&lt;BiblTempls&gt;&lt;/BiblTempls&gt;&lt;/OutStyle&gt;&lt;/KingyeeWXW&gt;_x000a_"/>
  </w:docVars>
  <w:rsids>
    <w:rsidRoot w:val="005D4863"/>
    <w:rsid w:val="00003BE6"/>
    <w:rsid w:val="000112D3"/>
    <w:rsid w:val="0001519A"/>
    <w:rsid w:val="00032C5E"/>
    <w:rsid w:val="00043E3B"/>
    <w:rsid w:val="00055646"/>
    <w:rsid w:val="00056C07"/>
    <w:rsid w:val="00076CA6"/>
    <w:rsid w:val="0008277B"/>
    <w:rsid w:val="000838B7"/>
    <w:rsid w:val="000850BA"/>
    <w:rsid w:val="00085FEC"/>
    <w:rsid w:val="000A001A"/>
    <w:rsid w:val="000B345F"/>
    <w:rsid w:val="000C1DFA"/>
    <w:rsid w:val="000C5D4C"/>
    <w:rsid w:val="000D1032"/>
    <w:rsid w:val="000D429E"/>
    <w:rsid w:val="000E6CE9"/>
    <w:rsid w:val="001022EA"/>
    <w:rsid w:val="001120E6"/>
    <w:rsid w:val="001169A0"/>
    <w:rsid w:val="001253A9"/>
    <w:rsid w:val="00135FFA"/>
    <w:rsid w:val="0013731F"/>
    <w:rsid w:val="00140886"/>
    <w:rsid w:val="001442D1"/>
    <w:rsid w:val="00147A6B"/>
    <w:rsid w:val="001639F8"/>
    <w:rsid w:val="00180EAE"/>
    <w:rsid w:val="0018366D"/>
    <w:rsid w:val="0018684C"/>
    <w:rsid w:val="001A0FA4"/>
    <w:rsid w:val="001B6DCD"/>
    <w:rsid w:val="001C53C7"/>
    <w:rsid w:val="001D151E"/>
    <w:rsid w:val="001D2FE2"/>
    <w:rsid w:val="001E4A6B"/>
    <w:rsid w:val="001F2380"/>
    <w:rsid w:val="001F2943"/>
    <w:rsid w:val="001F4691"/>
    <w:rsid w:val="00201CFB"/>
    <w:rsid w:val="00207B9E"/>
    <w:rsid w:val="002105D3"/>
    <w:rsid w:val="002145F1"/>
    <w:rsid w:val="00226670"/>
    <w:rsid w:val="00231CDD"/>
    <w:rsid w:val="00233A04"/>
    <w:rsid w:val="0023624B"/>
    <w:rsid w:val="00240D10"/>
    <w:rsid w:val="00251F58"/>
    <w:rsid w:val="00252BA4"/>
    <w:rsid w:val="00260DC6"/>
    <w:rsid w:val="00264FCC"/>
    <w:rsid w:val="00265AC5"/>
    <w:rsid w:val="00275A82"/>
    <w:rsid w:val="00280160"/>
    <w:rsid w:val="00285DC1"/>
    <w:rsid w:val="00286E41"/>
    <w:rsid w:val="002973B9"/>
    <w:rsid w:val="002A2925"/>
    <w:rsid w:val="002B3F2D"/>
    <w:rsid w:val="002D590F"/>
    <w:rsid w:val="002F2B60"/>
    <w:rsid w:val="00301205"/>
    <w:rsid w:val="00301E8C"/>
    <w:rsid w:val="00303D1B"/>
    <w:rsid w:val="00315771"/>
    <w:rsid w:val="00324353"/>
    <w:rsid w:val="003444CD"/>
    <w:rsid w:val="00365865"/>
    <w:rsid w:val="00366079"/>
    <w:rsid w:val="003748E7"/>
    <w:rsid w:val="00386F77"/>
    <w:rsid w:val="00387D70"/>
    <w:rsid w:val="0039793A"/>
    <w:rsid w:val="003A1EAD"/>
    <w:rsid w:val="003A536A"/>
    <w:rsid w:val="003C0F19"/>
    <w:rsid w:val="003C1A99"/>
    <w:rsid w:val="003D1384"/>
    <w:rsid w:val="003D3D06"/>
    <w:rsid w:val="003F7DC9"/>
    <w:rsid w:val="00400B04"/>
    <w:rsid w:val="004163B7"/>
    <w:rsid w:val="00436108"/>
    <w:rsid w:val="00437B65"/>
    <w:rsid w:val="004509CA"/>
    <w:rsid w:val="00457702"/>
    <w:rsid w:val="004837AA"/>
    <w:rsid w:val="00486801"/>
    <w:rsid w:val="0049205D"/>
    <w:rsid w:val="004C098B"/>
    <w:rsid w:val="004C351E"/>
    <w:rsid w:val="004C6605"/>
    <w:rsid w:val="004E23BE"/>
    <w:rsid w:val="004E4065"/>
    <w:rsid w:val="004F31EC"/>
    <w:rsid w:val="004F4C5A"/>
    <w:rsid w:val="00502D68"/>
    <w:rsid w:val="00535B0C"/>
    <w:rsid w:val="00543C33"/>
    <w:rsid w:val="005500D0"/>
    <w:rsid w:val="00564CB5"/>
    <w:rsid w:val="00583A42"/>
    <w:rsid w:val="0058401C"/>
    <w:rsid w:val="0058599A"/>
    <w:rsid w:val="005918F4"/>
    <w:rsid w:val="005953C4"/>
    <w:rsid w:val="005A2B09"/>
    <w:rsid w:val="005A37EA"/>
    <w:rsid w:val="005A3BEA"/>
    <w:rsid w:val="005A4791"/>
    <w:rsid w:val="005B66F3"/>
    <w:rsid w:val="005B7645"/>
    <w:rsid w:val="005C0045"/>
    <w:rsid w:val="005D3A3F"/>
    <w:rsid w:val="005D45AF"/>
    <w:rsid w:val="005D4863"/>
    <w:rsid w:val="005E06E2"/>
    <w:rsid w:val="005E18A4"/>
    <w:rsid w:val="005E498B"/>
    <w:rsid w:val="006071A2"/>
    <w:rsid w:val="00615008"/>
    <w:rsid w:val="0063253C"/>
    <w:rsid w:val="006412C9"/>
    <w:rsid w:val="006446B1"/>
    <w:rsid w:val="00680FE6"/>
    <w:rsid w:val="00687CD8"/>
    <w:rsid w:val="00691DED"/>
    <w:rsid w:val="006B09FE"/>
    <w:rsid w:val="006B2B82"/>
    <w:rsid w:val="006C47AF"/>
    <w:rsid w:val="006C5B53"/>
    <w:rsid w:val="006E5195"/>
    <w:rsid w:val="006F1D64"/>
    <w:rsid w:val="006F7AF2"/>
    <w:rsid w:val="00706EEF"/>
    <w:rsid w:val="00724386"/>
    <w:rsid w:val="0074057B"/>
    <w:rsid w:val="00782BEA"/>
    <w:rsid w:val="007834D5"/>
    <w:rsid w:val="00795093"/>
    <w:rsid w:val="00796119"/>
    <w:rsid w:val="007B03CC"/>
    <w:rsid w:val="007B4C2A"/>
    <w:rsid w:val="007D35B6"/>
    <w:rsid w:val="007E240F"/>
    <w:rsid w:val="007F1499"/>
    <w:rsid w:val="007F1533"/>
    <w:rsid w:val="007F3A7F"/>
    <w:rsid w:val="008118FD"/>
    <w:rsid w:val="0081598A"/>
    <w:rsid w:val="00816BDF"/>
    <w:rsid w:val="00821580"/>
    <w:rsid w:val="00825AAA"/>
    <w:rsid w:val="00832820"/>
    <w:rsid w:val="008512C6"/>
    <w:rsid w:val="0085186C"/>
    <w:rsid w:val="00861532"/>
    <w:rsid w:val="00867DA0"/>
    <w:rsid w:val="0088069D"/>
    <w:rsid w:val="008806B9"/>
    <w:rsid w:val="00893D40"/>
    <w:rsid w:val="008D17B8"/>
    <w:rsid w:val="008D35BA"/>
    <w:rsid w:val="008D7478"/>
    <w:rsid w:val="008E537B"/>
    <w:rsid w:val="008E7837"/>
    <w:rsid w:val="008F367D"/>
    <w:rsid w:val="0090201C"/>
    <w:rsid w:val="00910A94"/>
    <w:rsid w:val="0092291E"/>
    <w:rsid w:val="00923CD6"/>
    <w:rsid w:val="00926259"/>
    <w:rsid w:val="009579C7"/>
    <w:rsid w:val="00963467"/>
    <w:rsid w:val="00963DF8"/>
    <w:rsid w:val="009653C3"/>
    <w:rsid w:val="009735F3"/>
    <w:rsid w:val="00974875"/>
    <w:rsid w:val="00982ACD"/>
    <w:rsid w:val="00994CEC"/>
    <w:rsid w:val="009B0438"/>
    <w:rsid w:val="009B700D"/>
    <w:rsid w:val="009C1238"/>
    <w:rsid w:val="009C58D3"/>
    <w:rsid w:val="009D4464"/>
    <w:rsid w:val="009E27FB"/>
    <w:rsid w:val="009E35A2"/>
    <w:rsid w:val="009F79E3"/>
    <w:rsid w:val="00A03761"/>
    <w:rsid w:val="00A07E77"/>
    <w:rsid w:val="00A16161"/>
    <w:rsid w:val="00A41408"/>
    <w:rsid w:val="00A41A05"/>
    <w:rsid w:val="00A4621F"/>
    <w:rsid w:val="00A51233"/>
    <w:rsid w:val="00A65D80"/>
    <w:rsid w:val="00A70B01"/>
    <w:rsid w:val="00A74BDB"/>
    <w:rsid w:val="00A81C0D"/>
    <w:rsid w:val="00A870B7"/>
    <w:rsid w:val="00A92BA5"/>
    <w:rsid w:val="00A97B40"/>
    <w:rsid w:val="00AA7F60"/>
    <w:rsid w:val="00AC1CD5"/>
    <w:rsid w:val="00AC7A22"/>
    <w:rsid w:val="00AE143F"/>
    <w:rsid w:val="00AF6D97"/>
    <w:rsid w:val="00B17852"/>
    <w:rsid w:val="00B23D85"/>
    <w:rsid w:val="00B33831"/>
    <w:rsid w:val="00B34456"/>
    <w:rsid w:val="00B44BBA"/>
    <w:rsid w:val="00B457D6"/>
    <w:rsid w:val="00B4623E"/>
    <w:rsid w:val="00B522CE"/>
    <w:rsid w:val="00B63F96"/>
    <w:rsid w:val="00B64882"/>
    <w:rsid w:val="00B70031"/>
    <w:rsid w:val="00B929DE"/>
    <w:rsid w:val="00B94635"/>
    <w:rsid w:val="00B952EA"/>
    <w:rsid w:val="00BB1789"/>
    <w:rsid w:val="00BC00CF"/>
    <w:rsid w:val="00BC4AAE"/>
    <w:rsid w:val="00BC7914"/>
    <w:rsid w:val="00BD40C3"/>
    <w:rsid w:val="00BF35B9"/>
    <w:rsid w:val="00C06A96"/>
    <w:rsid w:val="00C07F43"/>
    <w:rsid w:val="00C1040C"/>
    <w:rsid w:val="00C1486B"/>
    <w:rsid w:val="00C20EA1"/>
    <w:rsid w:val="00C31E75"/>
    <w:rsid w:val="00C43BB8"/>
    <w:rsid w:val="00C4578D"/>
    <w:rsid w:val="00C46C51"/>
    <w:rsid w:val="00C47161"/>
    <w:rsid w:val="00C50B4C"/>
    <w:rsid w:val="00C747AF"/>
    <w:rsid w:val="00C812E1"/>
    <w:rsid w:val="00C81B75"/>
    <w:rsid w:val="00C873AF"/>
    <w:rsid w:val="00C93557"/>
    <w:rsid w:val="00CA0800"/>
    <w:rsid w:val="00CA0FC2"/>
    <w:rsid w:val="00CA6825"/>
    <w:rsid w:val="00CA730C"/>
    <w:rsid w:val="00CB4D18"/>
    <w:rsid w:val="00CB5F82"/>
    <w:rsid w:val="00CC3D06"/>
    <w:rsid w:val="00CC6CCA"/>
    <w:rsid w:val="00CC7B7B"/>
    <w:rsid w:val="00CD2DC7"/>
    <w:rsid w:val="00CD62B2"/>
    <w:rsid w:val="00CE0560"/>
    <w:rsid w:val="00CE05EA"/>
    <w:rsid w:val="00CE3B74"/>
    <w:rsid w:val="00CE5FE8"/>
    <w:rsid w:val="00D0680F"/>
    <w:rsid w:val="00D371C5"/>
    <w:rsid w:val="00D45052"/>
    <w:rsid w:val="00D528FB"/>
    <w:rsid w:val="00D62C37"/>
    <w:rsid w:val="00D67A84"/>
    <w:rsid w:val="00D71A02"/>
    <w:rsid w:val="00D77668"/>
    <w:rsid w:val="00DC2620"/>
    <w:rsid w:val="00DD50AD"/>
    <w:rsid w:val="00DE345C"/>
    <w:rsid w:val="00DF2CE3"/>
    <w:rsid w:val="00DF718D"/>
    <w:rsid w:val="00E02218"/>
    <w:rsid w:val="00E06914"/>
    <w:rsid w:val="00E17566"/>
    <w:rsid w:val="00E36671"/>
    <w:rsid w:val="00E40943"/>
    <w:rsid w:val="00E656B9"/>
    <w:rsid w:val="00E7782C"/>
    <w:rsid w:val="00E9188F"/>
    <w:rsid w:val="00EB653A"/>
    <w:rsid w:val="00EC23B1"/>
    <w:rsid w:val="00EC2EF1"/>
    <w:rsid w:val="00EC3071"/>
    <w:rsid w:val="00EC55C0"/>
    <w:rsid w:val="00EE3C66"/>
    <w:rsid w:val="00F13E4E"/>
    <w:rsid w:val="00F162B1"/>
    <w:rsid w:val="00F21154"/>
    <w:rsid w:val="00F2465E"/>
    <w:rsid w:val="00F24F77"/>
    <w:rsid w:val="00F35EDD"/>
    <w:rsid w:val="00F3691C"/>
    <w:rsid w:val="00F47CD2"/>
    <w:rsid w:val="00F50C79"/>
    <w:rsid w:val="00F63BF5"/>
    <w:rsid w:val="00F926E3"/>
    <w:rsid w:val="00FA129D"/>
    <w:rsid w:val="00FA4B5A"/>
    <w:rsid w:val="00FB17E1"/>
    <w:rsid w:val="00FC0E6F"/>
    <w:rsid w:val="00FC3E49"/>
    <w:rsid w:val="00FC75FE"/>
    <w:rsid w:val="00FD6209"/>
    <w:rsid w:val="00FE2C01"/>
    <w:rsid w:val="00FE45CF"/>
    <w:rsid w:val="00FF3A9E"/>
    <w:rsid w:val="0AAA2183"/>
    <w:rsid w:val="0DEF509B"/>
    <w:rsid w:val="1DF0750B"/>
    <w:rsid w:val="226332A1"/>
    <w:rsid w:val="2F5F648A"/>
    <w:rsid w:val="52FC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4D619"/>
  <w15:docId w15:val="{C5D7DD3D-95BE-49B1-A6A6-7C7FE618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rFonts w:ascii="Arial" w:hAnsi="Arial" w:cs="Arial" w:hint="default"/>
      <w:color w:val="0000CC"/>
      <w:u w:val="single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aidu.com/s?wd=%E6%96%B0%E8%8D%AF%E4%B8%B4%E5%BA%8A%E5%89%8D%E6%AF%92%E7%90%86%E5%AD%A6%E8%AF%84%E4%BB%B7&amp;rsp=2&amp;f=1&amp;oq=%E6%AF%92%E7%90%86%E5%AD%A6%20%E4%B8%B4%E5%BA%8A%E7%A0%94%E7%A9%B6&amp;ie=utf-8&amp;rsv_pq=fdb8ac8100018239&amp;rsv_t=6deaf7Dn3kul2%2BKhCD086DvaSJc50MXlXqbjlNnq2Xb4b9qEADseQWd2zF0&amp;rqlang=cn&amp;rsv_ers=xn1&amp;rs_src=0&amp;rsv_pq=fdb8ac8100018239&amp;rsv_t=6deaf7Dn3kul2%2BKhCD086DvaSJc50MXlXqbjlNnq2Xb4b9qEADseQWd2z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1098</Characters>
  <Application>Microsoft Office Word</Application>
  <DocSecurity>0</DocSecurity>
  <Lines>9</Lines>
  <Paragraphs>2</Paragraphs>
  <ScaleCrop>false</ScaleCrop>
  <Company>雪城哀怜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2004级硕士研究生《卫生毒理学》课程进度表</dc:title>
  <dc:creator>陈泽滨</dc:creator>
  <cp:lastModifiedBy>鄢嫣</cp:lastModifiedBy>
  <cp:revision>15</cp:revision>
  <cp:lastPrinted>2016-06-13T01:30:00Z</cp:lastPrinted>
  <dcterms:created xsi:type="dcterms:W3CDTF">2016-06-06T04:27:00Z</dcterms:created>
  <dcterms:modified xsi:type="dcterms:W3CDTF">2016-11-28T00:37:00Z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