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0" w:firstLineChars="0"/>
        <w:jc w:val="center"/>
        <w:rPr>
          <w:rFonts w:eastAsia="长城小标宋体"/>
          <w:b/>
          <w:bCs/>
          <w:sz w:val="36"/>
        </w:rPr>
      </w:pPr>
      <w:r>
        <w:rPr>
          <w:rFonts w:hint="eastAsia" w:eastAsia="长城小标宋体"/>
          <w:b/>
          <w:bCs/>
          <w:sz w:val="36"/>
        </w:rPr>
        <w:t>“食品安全关键技术研发”</w:t>
      </w:r>
    </w:p>
    <w:p>
      <w:pPr>
        <w:ind w:firstLine="0" w:firstLineChars="0"/>
        <w:jc w:val="center"/>
        <w:rPr>
          <w:rFonts w:hint="eastAsia" w:eastAsia="长城小标宋体"/>
          <w:b/>
          <w:bCs/>
          <w:sz w:val="36"/>
        </w:rPr>
      </w:pPr>
      <w:r>
        <w:rPr>
          <w:rFonts w:hint="eastAsia" w:eastAsia="长城小标宋体"/>
          <w:b/>
          <w:bCs/>
          <w:sz w:val="36"/>
        </w:rPr>
        <w:t>重点专项2017年申报指南</w:t>
      </w:r>
    </w:p>
    <w:p>
      <w:pPr>
        <w:ind w:firstLine="0" w:firstLineChars="0"/>
        <w:jc w:val="center"/>
        <w:rPr>
          <w:rFonts w:hint="eastAsia" w:eastAsia="长城小标宋体"/>
          <w:b/>
          <w:bCs/>
          <w:sz w:val="36"/>
          <w:lang w:eastAsia="zh-CN"/>
        </w:rPr>
      </w:pPr>
      <w:r>
        <w:rPr>
          <w:rFonts w:hint="eastAsia" w:eastAsia="长城小标宋体"/>
          <w:b/>
          <w:bCs/>
          <w:sz w:val="36"/>
          <w:lang w:eastAsia="zh-CN"/>
        </w:rPr>
        <w:t>（征求意见稿）</w:t>
      </w:r>
    </w:p>
    <w:p>
      <w:pPr>
        <w:adjustRightInd/>
        <w:snapToGrid/>
        <w:ind w:firstLine="616"/>
        <w:rPr>
          <w:szCs w:val="28"/>
        </w:rPr>
      </w:pPr>
      <w:r>
        <w:rPr>
          <w:rFonts w:hint="eastAsia"/>
          <w:szCs w:val="28"/>
        </w:rPr>
        <w:t>本专项的总体目标是：重点解决我国食品源头污染严重、过程控制能力薄弱、监管支撑能力不足的问题，聚焦严重危害我国人民健康的食源性致病微生物、化学致癌物、内分泌干扰物、抗生素、生物毒素等重要危害物，深入开展食品安全危害识别与毒性机制、食品原料中危害物迁移转化规律与安全控制机理等基础研究，为科学有效保障食品安全提供重要的理论基础；有效强化过程控制、检验检测、监测评估、监管应急等四个方向关键共性技术研究，加快研发快速检测和非定向筛查技术及产品，大幅提升食品安全快速检测试剂和装备国产化率，构建与国际接轨的食品安全标准体系、全国统一的追溯预警体系和全链条的过程控制体系及国家食品安全大数据云平台，进一步完善监管应急技术体系；积极转化研究成果，针对食用农产品质量安全保障、食品安全应急保障、社会共治等重点领域，开展区域和产业链综合示范，为实现我国食品安全从“被动应对”向“主动保障”的转变，确保群众舌尖上的安全和推动食品相关产业健康、快速发展提供技术支撑。</w:t>
      </w:r>
    </w:p>
    <w:p>
      <w:pPr>
        <w:adjustRightInd/>
        <w:snapToGrid/>
        <w:ind w:firstLine="616"/>
        <w:rPr>
          <w:szCs w:val="28"/>
        </w:rPr>
      </w:pPr>
      <w:r>
        <w:rPr>
          <w:rFonts w:hint="eastAsia"/>
          <w:szCs w:val="28"/>
        </w:rPr>
        <w:t>本专项按照全链条部署、一体化实施的原则，下设食品安全保障机理机制基础研究、食品安全关键共性技术和产品研发、食品安全关键技术转化集成和综合示范等三个任务。2017年，计划从上述三个</w:t>
      </w:r>
      <w:r>
        <w:rPr>
          <w:rFonts w:hint="eastAsia"/>
          <w:szCs w:val="28"/>
          <w:lang w:eastAsia="zh-CN"/>
        </w:rPr>
        <w:t>任务</w:t>
      </w:r>
      <w:r>
        <w:rPr>
          <w:rFonts w:hint="eastAsia"/>
          <w:szCs w:val="28"/>
        </w:rPr>
        <w:t>部署18个</w:t>
      </w:r>
      <w:r>
        <w:rPr>
          <w:rFonts w:hint="eastAsia"/>
          <w:szCs w:val="28"/>
          <w:lang w:eastAsia="zh-CN"/>
        </w:rPr>
        <w:t>研究方向</w:t>
      </w:r>
      <w:r>
        <w:rPr>
          <w:rFonts w:hint="eastAsia"/>
          <w:szCs w:val="28"/>
        </w:rPr>
        <w:t>。</w:t>
      </w:r>
    </w:p>
    <w:p>
      <w:pPr>
        <w:adjustRightInd/>
        <w:snapToGrid/>
        <w:ind w:firstLine="618"/>
        <w:rPr>
          <w:b/>
        </w:rPr>
      </w:pPr>
      <w:r>
        <w:rPr>
          <w:rFonts w:hint="eastAsia"/>
          <w:b/>
          <w:szCs w:val="28"/>
        </w:rPr>
        <w:t>1</w:t>
      </w:r>
      <w:r>
        <w:rPr>
          <w:b/>
          <w:szCs w:val="28"/>
        </w:rPr>
        <w:t>.</w:t>
      </w:r>
      <w:r>
        <w:rPr>
          <w:rFonts w:hint="eastAsia"/>
          <w:b/>
          <w:szCs w:val="28"/>
        </w:rPr>
        <w:t>食品安全保障机理机制基础研究</w:t>
      </w:r>
    </w:p>
    <w:p>
      <w:pPr>
        <w:adjustRightInd/>
        <w:snapToGrid/>
        <w:ind w:firstLine="618"/>
        <w:rPr>
          <w:b/>
        </w:rPr>
      </w:pPr>
      <w:r>
        <w:rPr>
          <w:rFonts w:hint="eastAsia"/>
          <w:b/>
        </w:rPr>
        <w:t>（1）重要食源性致病菌耐药机制及传播规律研究</w:t>
      </w:r>
    </w:p>
    <w:p>
      <w:pPr>
        <w:adjustRightInd/>
        <w:snapToGrid/>
        <w:ind w:firstLine="616"/>
      </w:pPr>
      <w:r>
        <w:rPr>
          <w:rFonts w:hint="eastAsia"/>
        </w:rPr>
        <w:t>研究内容：针对我国食源性致病菌耐药性不断加重的严峻形势，以沙门氏菌、弯曲菌、金黄色葡萄球菌、副溶血弧菌等主要食源性致病菌为对象，重点围绕“养殖动物</w:t>
      </w:r>
      <w:r>
        <w:t>-</w:t>
      </w:r>
      <w:r>
        <w:rPr>
          <w:rFonts w:hint="eastAsia"/>
        </w:rPr>
        <w:t>环境</w:t>
      </w:r>
      <w:r>
        <w:t>-</w:t>
      </w:r>
      <w:r>
        <w:rPr>
          <w:rFonts w:hint="eastAsia"/>
        </w:rPr>
        <w:t>食品</w:t>
      </w:r>
      <w:r>
        <w:t>-</w:t>
      </w:r>
      <w:r>
        <w:rPr>
          <w:rFonts w:hint="eastAsia"/>
        </w:rPr>
        <w:t>人群”链条，研究耐药菌的产生与传播机制，耐药菌</w:t>
      </w:r>
      <w:r>
        <w:t>/</w:t>
      </w:r>
      <w:r>
        <w:rPr>
          <w:rFonts w:hint="eastAsia"/>
        </w:rPr>
        <w:t>耐药基因在动物、环境、食品、人群之间的分布转移特征与流行消长规律；探索耐药菌</w:t>
      </w:r>
      <w:r>
        <w:t>/</w:t>
      </w:r>
      <w:r>
        <w:rPr>
          <w:rFonts w:hint="eastAsia"/>
        </w:rPr>
        <w:t>耐药基因的环境行为与生态效应；确定食源性耐药致病菌的人群暴露与危害特征；建立食源性致病菌耐药性动态数据库，构建耐药菌</w:t>
      </w:r>
      <w:r>
        <w:t>/</w:t>
      </w:r>
      <w:r>
        <w:rPr>
          <w:rFonts w:hint="eastAsia"/>
        </w:rPr>
        <w:t>耐药基因的环境生态风险评估模型、食源性耐药致病菌的传播预测模型和人群健康风险评估模型，提出食源性致病菌耐药性控制技术规范或指南。</w:t>
      </w:r>
    </w:p>
    <w:p>
      <w:pPr>
        <w:adjustRightInd/>
        <w:snapToGrid/>
        <w:ind w:firstLine="616"/>
      </w:pPr>
      <w:r>
        <w:rPr>
          <w:rFonts w:hint="eastAsia"/>
        </w:rPr>
        <w:t>考核指标：阐明沙门氏菌、弯曲菌、金黄色葡萄球菌、副溶血弧菌等至少</w:t>
      </w:r>
      <w:r>
        <w:t>4</w:t>
      </w:r>
      <w:r>
        <w:rPr>
          <w:rFonts w:hint="eastAsia"/>
        </w:rPr>
        <w:t>种食源性耐药致病菌的形成机制与流行规律；构建食源性致病菌耐药性动态数据库（新增菌株数不少于</w:t>
      </w:r>
      <w:r>
        <w:t>4000</w:t>
      </w:r>
      <w:r>
        <w:rPr>
          <w:rFonts w:hint="eastAsia"/>
        </w:rPr>
        <w:t>）；建立食源性耐药致病菌传播预测模型和人群健康风险评估模型、耐药菌</w:t>
      </w:r>
      <w:r>
        <w:t>/</w:t>
      </w:r>
      <w:r>
        <w:rPr>
          <w:rFonts w:hint="eastAsia"/>
        </w:rPr>
        <w:t>耐药基因生态风险评估模型不少于</w:t>
      </w:r>
      <w:r>
        <w:t>6</w:t>
      </w:r>
      <w:r>
        <w:rPr>
          <w:rFonts w:hint="eastAsia"/>
        </w:rPr>
        <w:t>套，制定食源性致病菌耐药性预警系统不少于</w:t>
      </w:r>
      <w:r>
        <w:t>5</w:t>
      </w:r>
      <w:r>
        <w:rPr>
          <w:rFonts w:hint="eastAsia"/>
        </w:rPr>
        <w:t>套，提交食源性致病菌耐药性控制技术规范或指南不少于</w:t>
      </w:r>
      <w:r>
        <w:t>5</w:t>
      </w:r>
      <w:r>
        <w:rPr>
          <w:rFonts w:hint="eastAsia"/>
        </w:rPr>
        <w:t>套，提交食源性致病菌耐药性风险评估报告不少于</w:t>
      </w:r>
      <w:r>
        <w:t>5</w:t>
      </w:r>
      <w:r>
        <w:rPr>
          <w:rFonts w:hint="eastAsia"/>
        </w:rPr>
        <w:t>个；发表论文不少于</w:t>
      </w:r>
      <w:r>
        <w:t>120</w:t>
      </w:r>
      <w:r>
        <w:rPr>
          <w:rFonts w:hint="eastAsia"/>
        </w:rPr>
        <w:t>篇（其中</w:t>
      </w:r>
      <w:r>
        <w:t>SCI</w:t>
      </w:r>
      <w:r>
        <w:rPr>
          <w:rFonts w:hint="eastAsia"/>
        </w:rPr>
        <w:t>论文</w:t>
      </w:r>
      <w:r>
        <w:t>60</w:t>
      </w:r>
      <w:r>
        <w:rPr>
          <w:rFonts w:hint="eastAsia"/>
        </w:rPr>
        <w:t>篇以上），申请专利不少于</w:t>
      </w:r>
      <w:r>
        <w:t>10</w:t>
      </w:r>
      <w:r>
        <w:rPr>
          <w:rFonts w:hint="eastAsia"/>
        </w:rPr>
        <w:t>项，申请软件著作权不少于</w:t>
      </w:r>
      <w:r>
        <w:t>5</w:t>
      </w:r>
      <w:r>
        <w:rPr>
          <w:rFonts w:hint="eastAsia"/>
        </w:rPr>
        <w:t>项，为食源性致病菌耐药性的风险评估、预警及干预提供科学的理论依据。</w:t>
      </w:r>
    </w:p>
    <w:p>
      <w:pPr>
        <w:widowControl/>
        <w:shd w:val="clear" w:color="auto" w:fill="FFFFFF"/>
        <w:adjustRightInd/>
        <w:snapToGrid/>
        <w:ind w:firstLine="567" w:firstLineChars="0"/>
        <w:jc w:val="left"/>
      </w:pPr>
      <w:r>
        <w:rPr>
          <w:rFonts w:hint="eastAsia"/>
        </w:rPr>
        <w:t>支持年限：</w:t>
      </w:r>
      <w:r>
        <w:t>2017</w:t>
      </w:r>
      <w:r>
        <w:rPr>
          <w:rFonts w:hint="eastAsia"/>
        </w:rPr>
        <w:t>年</w:t>
      </w:r>
      <w:r>
        <w:t>-2021</w:t>
      </w:r>
      <w:r>
        <w:rPr>
          <w:rFonts w:hint="eastAsia"/>
        </w:rPr>
        <w:t>年</w:t>
      </w:r>
    </w:p>
    <w:p>
      <w:pPr>
        <w:widowControl/>
        <w:shd w:val="clear" w:color="auto" w:fill="FFFFFF"/>
        <w:adjustRightInd/>
        <w:snapToGrid/>
        <w:ind w:firstLine="567" w:firstLineChars="0"/>
        <w:jc w:val="left"/>
      </w:pPr>
      <w:r>
        <w:rPr>
          <w:rFonts w:hint="eastAsia"/>
        </w:rPr>
        <w:t>拟支持项目数：</w:t>
      </w:r>
      <w:r>
        <w:t>1-2</w:t>
      </w:r>
      <w:r>
        <w:rPr>
          <w:rFonts w:hint="eastAsia"/>
        </w:rPr>
        <w:t>项</w:t>
      </w:r>
    </w:p>
    <w:p>
      <w:pPr>
        <w:adjustRightInd/>
        <w:snapToGrid/>
        <w:ind w:firstLine="618"/>
        <w:rPr>
          <w:b/>
          <w:szCs w:val="28"/>
        </w:rPr>
      </w:pPr>
      <w:r>
        <w:rPr>
          <w:rFonts w:hint="eastAsia"/>
          <w:b/>
          <w:szCs w:val="28"/>
        </w:rPr>
        <w:t>（2）食品典型污染物及新型未知风险物质危害识别与毒性机制研究</w:t>
      </w:r>
    </w:p>
    <w:p>
      <w:pPr>
        <w:adjustRightInd/>
        <w:snapToGrid/>
        <w:ind w:firstLine="616"/>
        <w:rPr>
          <w:szCs w:val="28"/>
        </w:rPr>
      </w:pPr>
      <w:r>
        <w:rPr>
          <w:rFonts w:hint="eastAsia"/>
          <w:szCs w:val="28"/>
        </w:rPr>
        <w:t>研究内容：基于</w:t>
      </w:r>
      <w:r>
        <w:rPr>
          <w:szCs w:val="28"/>
        </w:rPr>
        <w:t>21</w:t>
      </w:r>
      <w:r>
        <w:rPr>
          <w:rFonts w:hint="eastAsia"/>
          <w:szCs w:val="28"/>
        </w:rPr>
        <w:t>世纪毒理学新理念和新方法，从细胞、动物和人群等多个层面，针对我国食品中典型污染物（新型有机污染物和常见重金属），开展长期低剂量暴露导致健康危害的代谢转化、毒性通路、生物标志物及毒性作用机制研究；按照国际通用指南和良好实验室操作规范（</w:t>
      </w:r>
      <w:r>
        <w:rPr>
          <w:szCs w:val="28"/>
        </w:rPr>
        <w:t>GLP</w:t>
      </w:r>
      <w:r>
        <w:rPr>
          <w:rFonts w:hint="eastAsia"/>
          <w:szCs w:val="28"/>
        </w:rPr>
        <w:t>）并结合转化毒理学方法，对我国特有食品添加剂和食品中稀土元素的潜在健康危害及其作用机制进行系统的安全性评估研究，获得自主知识产权毒理学数据，制修订相关标准，促进产业发展；研究食品用纳米材料等新型未知风险物质的生物学效应，探讨对其进行毒理学安全性评价和食品安全风险评估的理念和策略。</w:t>
      </w:r>
    </w:p>
    <w:p>
      <w:pPr>
        <w:adjustRightInd/>
        <w:snapToGrid/>
        <w:ind w:firstLine="616"/>
        <w:rPr>
          <w:szCs w:val="28"/>
        </w:rPr>
      </w:pPr>
      <w:r>
        <w:rPr>
          <w:rFonts w:hint="eastAsia"/>
          <w:szCs w:val="28"/>
        </w:rPr>
        <w:t>考核指标：研究我国食品中特有或常见化学物质及食品中新型未知风险物质对健康的潜在危害，识别食品中新型有机污染物（二噁英、多氯联苯、苯并芘等）、常见重金属（镉，砷，铅等）、特有食品添加剂（玉米黄、桑椹红、栀子黄等）、稀土元素（镧、铈、钇等）和食品用纳米材料（二氧化钛、二氧化硅、纳米银等）对健康的潜在危害；阐明相关毒性作用机制，确定可用于食品安全风险评估和毒性检测的关键毒性通路和生物标志物不少于</w:t>
      </w:r>
      <w:r>
        <w:rPr>
          <w:szCs w:val="28"/>
        </w:rPr>
        <w:t>10</w:t>
      </w:r>
      <w:r>
        <w:rPr>
          <w:rFonts w:hint="eastAsia"/>
          <w:szCs w:val="28"/>
        </w:rPr>
        <w:t>种；提出新型有机污染物、常见重金属、食品中稀土元素、特有食品添加剂和食品用纳米材料的（临时）健康指导值或建议不少于</w:t>
      </w:r>
      <w:r>
        <w:rPr>
          <w:szCs w:val="28"/>
        </w:rPr>
        <w:t>5</w:t>
      </w:r>
      <w:r>
        <w:rPr>
          <w:rFonts w:hint="eastAsia"/>
          <w:szCs w:val="28"/>
        </w:rPr>
        <w:t>个；发表</w:t>
      </w:r>
      <w:r>
        <w:rPr>
          <w:szCs w:val="28"/>
        </w:rPr>
        <w:t>SCI</w:t>
      </w:r>
      <w:r>
        <w:rPr>
          <w:rFonts w:hint="eastAsia"/>
          <w:szCs w:val="28"/>
        </w:rPr>
        <w:t>论文不少于</w:t>
      </w:r>
      <w:r>
        <w:rPr>
          <w:szCs w:val="28"/>
        </w:rPr>
        <w:t>40</w:t>
      </w:r>
      <w:r>
        <w:rPr>
          <w:rFonts w:hint="eastAsia"/>
          <w:szCs w:val="28"/>
        </w:rPr>
        <w:t>篇，申请发明专利不少于</w:t>
      </w:r>
      <w:r>
        <w:rPr>
          <w:szCs w:val="28"/>
        </w:rPr>
        <w:t>5</w:t>
      </w:r>
      <w:r>
        <w:rPr>
          <w:rFonts w:hint="eastAsia"/>
          <w:szCs w:val="28"/>
        </w:rPr>
        <w:t>项；制定食品用纳米材料的毒理学安全性评价技术规范不少于1项；形成食品安全标准（或草案）不少于</w:t>
      </w:r>
      <w:r>
        <w:rPr>
          <w:szCs w:val="28"/>
        </w:rPr>
        <w:t>3</w:t>
      </w:r>
      <w:r>
        <w:rPr>
          <w:rFonts w:hint="eastAsia"/>
          <w:szCs w:val="28"/>
        </w:rPr>
        <w:t>项。</w:t>
      </w:r>
    </w:p>
    <w:p>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adjustRightInd/>
        <w:snapToGrid/>
        <w:ind w:firstLine="616"/>
        <w:rPr>
          <w:szCs w:val="28"/>
        </w:rPr>
      </w:pPr>
      <w:r>
        <w:rPr>
          <w:rFonts w:hint="eastAsia"/>
          <w:szCs w:val="28"/>
        </w:rPr>
        <w:t>拟支持项目数：</w:t>
      </w:r>
      <w:r>
        <w:rPr>
          <w:szCs w:val="28"/>
        </w:rPr>
        <w:t>1-2</w:t>
      </w:r>
      <w:r>
        <w:rPr>
          <w:rFonts w:hint="eastAsia"/>
          <w:szCs w:val="28"/>
        </w:rPr>
        <w:t>项</w:t>
      </w:r>
    </w:p>
    <w:p>
      <w:pPr>
        <w:adjustRightInd/>
        <w:snapToGrid/>
        <w:ind w:firstLine="618"/>
        <w:rPr>
          <w:b/>
          <w:szCs w:val="28"/>
        </w:rPr>
      </w:pPr>
      <w:r>
        <w:rPr>
          <w:rFonts w:hint="eastAsia"/>
          <w:b/>
          <w:szCs w:val="28"/>
        </w:rPr>
        <w:t>（3）主要动物源性食品中关键危害物迁移转化机制及安全控制机理研究</w:t>
      </w:r>
    </w:p>
    <w:p>
      <w:pPr>
        <w:adjustRightInd/>
        <w:snapToGrid/>
        <w:ind w:firstLine="616"/>
        <w:rPr>
          <w:szCs w:val="28"/>
        </w:rPr>
      </w:pPr>
      <w:r>
        <w:rPr>
          <w:rFonts w:hint="eastAsia"/>
          <w:szCs w:val="28"/>
        </w:rPr>
        <w:t>研究内容：研究新型持久性有机污染物和新兴环境内分泌干扰物等在“环境</w:t>
      </w:r>
      <w:r>
        <w:rPr>
          <w:szCs w:val="28"/>
        </w:rPr>
        <w:t>-</w:t>
      </w:r>
      <w:r>
        <w:rPr>
          <w:rFonts w:hint="eastAsia"/>
          <w:szCs w:val="28"/>
        </w:rPr>
        <w:t>饲料</w:t>
      </w:r>
      <w:r>
        <w:rPr>
          <w:szCs w:val="28"/>
        </w:rPr>
        <w:t>-</w:t>
      </w:r>
      <w:r>
        <w:rPr>
          <w:rFonts w:hint="eastAsia"/>
          <w:szCs w:val="28"/>
        </w:rPr>
        <w:t>养殖动物”全链条中迁移途径、蓄积分布规律和代谢机制；研究隐蔽型真菌毒素在养殖动物体内代谢转化规律和毒性释放机制；探索动物源性食品原料中生物毒素和致病微生物的发生与消长、协同侵染规律；研究水产品中重金属的蓄积规律和赋存形态等；解析上述典型危害物的迁移转化分子机制、安全调控的基础，从分子水平揭示典型危害物在养殖动物体内的危害机制，以及在养殖动物体内的迁移转化规律。</w:t>
      </w:r>
    </w:p>
    <w:p>
      <w:pPr>
        <w:adjustRightInd/>
        <w:snapToGrid/>
        <w:ind w:firstLine="616"/>
        <w:rPr>
          <w:szCs w:val="28"/>
        </w:rPr>
      </w:pPr>
      <w:r>
        <w:rPr>
          <w:rFonts w:hint="eastAsia"/>
          <w:szCs w:val="28"/>
        </w:rPr>
        <w:t>考核指标：揭示主要动物源性食品中新型持久性有机污染物、新兴环境内分泌干扰物、隐蔽型真菌毒素和重金属等不少于</w:t>
      </w:r>
      <w:r>
        <w:rPr>
          <w:szCs w:val="28"/>
        </w:rPr>
        <w:t>20</w:t>
      </w:r>
      <w:r>
        <w:rPr>
          <w:rFonts w:hint="eastAsia"/>
          <w:szCs w:val="28"/>
        </w:rPr>
        <w:t>种典型化学性危害物的形成机制，阐明不少于</w:t>
      </w:r>
      <w:r>
        <w:rPr>
          <w:szCs w:val="28"/>
        </w:rPr>
        <w:t>3</w:t>
      </w:r>
      <w:r>
        <w:rPr>
          <w:rFonts w:hint="eastAsia"/>
          <w:szCs w:val="28"/>
        </w:rPr>
        <w:t>种生物毒素（神经性贝毒素等）和不少于</w:t>
      </w:r>
      <w:r>
        <w:rPr>
          <w:szCs w:val="28"/>
        </w:rPr>
        <w:t>2</w:t>
      </w:r>
      <w:r>
        <w:rPr>
          <w:rFonts w:hint="eastAsia"/>
          <w:szCs w:val="28"/>
        </w:rPr>
        <w:t>种致病微生物（甲肝病毒、诺如病毒等）等生物性危害在动物源性食品原料中的发生消长规律及控制机理；建立危害物代谢产物和生物标志物表征技术不少于</w:t>
      </w:r>
      <w:r>
        <w:rPr>
          <w:szCs w:val="28"/>
        </w:rPr>
        <w:t>8</w:t>
      </w:r>
      <w:r>
        <w:rPr>
          <w:rFonts w:hint="eastAsia"/>
          <w:szCs w:val="28"/>
        </w:rPr>
        <w:t>项；构建动物源性食品原料中持久性有机污染物等典型危害物的本底数据库不少于</w:t>
      </w:r>
      <w:r>
        <w:rPr>
          <w:szCs w:val="28"/>
        </w:rPr>
        <w:t>3</w:t>
      </w:r>
      <w:r>
        <w:rPr>
          <w:rFonts w:hint="eastAsia"/>
          <w:szCs w:val="28"/>
        </w:rPr>
        <w:t>个；提出基于“环境</w:t>
      </w:r>
      <w:r>
        <w:rPr>
          <w:szCs w:val="28"/>
        </w:rPr>
        <w:t>-</w:t>
      </w:r>
      <w:r>
        <w:rPr>
          <w:rFonts w:hint="eastAsia"/>
          <w:szCs w:val="28"/>
        </w:rPr>
        <w:t>饲料</w:t>
      </w:r>
      <w:r>
        <w:rPr>
          <w:szCs w:val="28"/>
        </w:rPr>
        <w:t>-</w:t>
      </w:r>
      <w:r>
        <w:rPr>
          <w:rFonts w:hint="eastAsia"/>
          <w:szCs w:val="28"/>
        </w:rPr>
        <w:t>养殖动物”链条中危害物迁移转化机制的安全控制规范不少于</w:t>
      </w:r>
      <w:r>
        <w:rPr>
          <w:szCs w:val="28"/>
        </w:rPr>
        <w:t>5</w:t>
      </w:r>
      <w:r>
        <w:rPr>
          <w:rFonts w:hint="eastAsia"/>
          <w:szCs w:val="28"/>
        </w:rPr>
        <w:t>个；申请国家发明专利不少于</w:t>
      </w:r>
      <w:r>
        <w:rPr>
          <w:szCs w:val="28"/>
        </w:rPr>
        <w:t>10</w:t>
      </w:r>
      <w:r>
        <w:rPr>
          <w:rFonts w:hint="eastAsia"/>
          <w:szCs w:val="28"/>
        </w:rPr>
        <w:t>项；提出国家或行业标准（草案）不少于</w:t>
      </w:r>
      <w:r>
        <w:rPr>
          <w:szCs w:val="28"/>
        </w:rPr>
        <w:t>10</w:t>
      </w:r>
      <w:r>
        <w:rPr>
          <w:rFonts w:hint="eastAsia"/>
          <w:szCs w:val="28"/>
        </w:rPr>
        <w:t>项；发表研究论文不少于</w:t>
      </w:r>
      <w:r>
        <w:rPr>
          <w:szCs w:val="28"/>
        </w:rPr>
        <w:t>60</w:t>
      </w:r>
      <w:r>
        <w:rPr>
          <w:rFonts w:hint="eastAsia"/>
          <w:szCs w:val="28"/>
        </w:rPr>
        <w:t>篇（其中</w:t>
      </w:r>
      <w:r>
        <w:rPr>
          <w:szCs w:val="28"/>
        </w:rPr>
        <w:t>SCI</w:t>
      </w:r>
      <w:r>
        <w:rPr>
          <w:rFonts w:hint="eastAsia"/>
          <w:szCs w:val="28"/>
        </w:rPr>
        <w:t>论文</w:t>
      </w:r>
      <w:r>
        <w:rPr>
          <w:szCs w:val="28"/>
        </w:rPr>
        <w:t>40</w:t>
      </w:r>
      <w:r>
        <w:rPr>
          <w:rFonts w:hint="eastAsia"/>
          <w:szCs w:val="28"/>
        </w:rPr>
        <w:t>篇以上）；出版专著不少于</w:t>
      </w:r>
      <w:r>
        <w:rPr>
          <w:szCs w:val="28"/>
        </w:rPr>
        <w:t>2</w:t>
      </w:r>
      <w:r>
        <w:rPr>
          <w:rFonts w:hint="eastAsia"/>
          <w:szCs w:val="28"/>
        </w:rPr>
        <w:t>部；提出动物源性食品中危害物控制建议报告不少于1份，为动物源性食品中危害物控制和标准制定提供科学依据。</w:t>
      </w:r>
    </w:p>
    <w:p>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adjustRightInd/>
        <w:snapToGrid/>
        <w:ind w:firstLine="616"/>
        <w:rPr>
          <w:szCs w:val="28"/>
        </w:rPr>
      </w:pPr>
      <w:r>
        <w:rPr>
          <w:rFonts w:hint="eastAsia"/>
          <w:szCs w:val="28"/>
        </w:rPr>
        <w:t>拟支持项目数：</w:t>
      </w:r>
      <w:r>
        <w:rPr>
          <w:szCs w:val="28"/>
        </w:rPr>
        <w:t>1-2</w:t>
      </w:r>
      <w:r>
        <w:rPr>
          <w:rFonts w:hint="eastAsia"/>
          <w:szCs w:val="28"/>
        </w:rPr>
        <w:t>项</w:t>
      </w:r>
    </w:p>
    <w:p>
      <w:pPr>
        <w:adjustRightInd/>
        <w:snapToGrid/>
        <w:ind w:firstLine="618"/>
        <w:rPr>
          <w:b/>
          <w:szCs w:val="28"/>
        </w:rPr>
      </w:pPr>
      <w:r>
        <w:rPr>
          <w:rFonts w:hint="eastAsia"/>
          <w:b/>
          <w:szCs w:val="28"/>
        </w:rPr>
        <w:t>（4）食品加工与食品安全的互作关系与调控基础研究</w:t>
      </w:r>
    </w:p>
    <w:p>
      <w:pPr>
        <w:adjustRightInd/>
        <w:snapToGrid/>
        <w:ind w:firstLine="616"/>
        <w:rPr>
          <w:szCs w:val="28"/>
        </w:rPr>
      </w:pPr>
      <w:r>
        <w:rPr>
          <w:rFonts w:hint="eastAsia"/>
          <w:szCs w:val="28"/>
        </w:rPr>
        <w:t>研究内容：重点围绕发酵食品、乳制品、油炸和烘焙食品等典型食品，解析发酵工艺、热处理等加工过程中不同原料、加工方式与多源危害物的形成机制及相互作用规律，建立数值模拟与调控方法；开展食品热加工过程中杂环胺、多胺、致敏原等危害因子的产生、迁移、积累的动态过程及其调控基础研究，探索危害消除的关键分子机制；研究不同产地属性的传统发酵食品加工过程中内源性食品微生物对有害氨（胺）类危害物及其形成前体积累的影响和转化规律，探索不同原料与工艺对有害物形成与积累的互作关系，形成生物危害物的定向干预与调控策略；针对典型/新型食品加工工艺，研究热效应对食品特征危害的产生与积累的影响规律与阻断、消除机制。</w:t>
      </w:r>
    </w:p>
    <w:p>
      <w:pPr>
        <w:adjustRightInd/>
        <w:snapToGrid/>
        <w:ind w:firstLine="616"/>
        <w:rPr>
          <w:szCs w:val="28"/>
        </w:rPr>
      </w:pPr>
      <w:r>
        <w:rPr>
          <w:rFonts w:hint="eastAsia"/>
          <w:szCs w:val="28"/>
        </w:rPr>
        <w:t>考核指标：建立食品加工条件与典型危害物动态关联数据库，阐明不少于10 种食品加工体系不同原料、加工方式与多源危害物的形成之间的关系；建立多源危害物过程评价技术不少10项，构建风险预测模型不少于3 套；解析不少于6种不同产地属性的典型发酵食品加工过程中氨（胺）类等危害物消除的作用机制，建立生物酶定向调控策略不少于5个；解析不少于7种油炸、烧烤、烘焙等典型食品加工热效应对致敏原、糠醛类、杂环胺类等危害物的迁移转化的影响规律，阐明危害物形成与积累的动态调控机制不少于10种；形成食品加工新工艺和操作规程不少于</w:t>
      </w:r>
      <w:r>
        <w:rPr>
          <w:szCs w:val="28"/>
        </w:rPr>
        <w:t>5</w:t>
      </w:r>
      <w:r>
        <w:rPr>
          <w:rFonts w:hint="eastAsia"/>
          <w:szCs w:val="28"/>
        </w:rPr>
        <w:t>套。申请专利不少于8项，发表论文不少于100 篇，其中</w:t>
      </w:r>
      <w:r>
        <w:rPr>
          <w:szCs w:val="28"/>
        </w:rPr>
        <w:t>SCI</w:t>
      </w:r>
      <w:r>
        <w:rPr>
          <w:rFonts w:hint="eastAsia"/>
          <w:szCs w:val="28"/>
        </w:rPr>
        <w:t>论文不少于50篇，为重要食品安全危害物的消除提供理论依据。</w:t>
      </w:r>
    </w:p>
    <w:p>
      <w:pPr>
        <w:adjustRightInd/>
        <w:snapToGrid/>
        <w:ind w:firstLine="616"/>
        <w:rPr>
          <w:szCs w:val="28"/>
        </w:rPr>
      </w:pPr>
      <w:r>
        <w:rPr>
          <w:rFonts w:hint="eastAsia"/>
          <w:szCs w:val="28"/>
        </w:rPr>
        <w:t>支持年限：2017年-2021年</w:t>
      </w:r>
    </w:p>
    <w:p>
      <w:pPr>
        <w:adjustRightInd/>
        <w:snapToGrid/>
        <w:ind w:firstLine="616"/>
        <w:rPr>
          <w:szCs w:val="28"/>
        </w:rPr>
      </w:pPr>
      <w:r>
        <w:rPr>
          <w:rFonts w:hint="eastAsia"/>
          <w:szCs w:val="28"/>
        </w:rPr>
        <w:t>拟支持项目数：1-2项</w:t>
      </w:r>
    </w:p>
    <w:p>
      <w:pPr>
        <w:adjustRightInd/>
        <w:snapToGrid/>
        <w:ind w:firstLine="618"/>
        <w:rPr>
          <w:b/>
          <w:szCs w:val="28"/>
        </w:rPr>
      </w:pPr>
      <w:r>
        <w:rPr>
          <w:rFonts w:hint="eastAsia"/>
          <w:b/>
          <w:szCs w:val="28"/>
        </w:rPr>
        <w:t>（5）食品污染物暴露组解析和总膳食研究</w:t>
      </w:r>
    </w:p>
    <w:p>
      <w:pPr>
        <w:widowControl/>
        <w:shd w:val="clear" w:color="auto" w:fill="FFFFFF"/>
        <w:adjustRightInd/>
        <w:snapToGrid/>
        <w:spacing w:before="75" w:after="75"/>
        <w:ind w:firstLine="566" w:firstLineChars="184"/>
        <w:jc w:val="left"/>
        <w:rPr>
          <w:szCs w:val="28"/>
        </w:rPr>
      </w:pPr>
      <w:r>
        <w:rPr>
          <w:rFonts w:hint="eastAsia"/>
          <w:szCs w:val="28"/>
        </w:rPr>
        <w:t>研究内容：围绕我国食品中化学污染物基础标准再评估和国际履约评估（生物监测）的需要，以</w:t>
      </w:r>
      <w:r>
        <w:rPr>
          <w:szCs w:val="28"/>
        </w:rPr>
        <w:t>WHO</w:t>
      </w:r>
      <w:r>
        <w:rPr>
          <w:rFonts w:hint="eastAsia"/>
          <w:szCs w:val="28"/>
        </w:rPr>
        <w:t>食品污染物监测合作中心（中国）为基地，基于中国总膳食研究开展暴露科学的关键问题研究，探讨中国居民总膳食中不同年龄-性别组的风险因子差异；通过探索</w:t>
      </w:r>
      <w:r>
        <w:rPr>
          <w:szCs w:val="28"/>
        </w:rPr>
        <w:t>21</w:t>
      </w:r>
      <w:r>
        <w:rPr>
          <w:rFonts w:hint="eastAsia"/>
          <w:szCs w:val="28"/>
        </w:rPr>
        <w:t>世纪暴露科学新理论构建典型化学危害物在人群的外暴露与内暴露解析表征平台，研究暴露组学相关的内外暴露谱，挖掘人体暴露与早期效应的生物标志物，特别关注生命早期的暴露表征；基于人体负荷生物监测研究热点关注食品化学污染物（以内分泌干扰物为重点）</w:t>
      </w:r>
      <w:r>
        <w:rPr>
          <w:szCs w:val="28"/>
        </w:rPr>
        <w:t>-</w:t>
      </w:r>
      <w:r>
        <w:rPr>
          <w:rFonts w:hint="eastAsia"/>
          <w:szCs w:val="28"/>
        </w:rPr>
        <w:t>人体健康效应，构建健康效应的量化关系。</w:t>
      </w:r>
    </w:p>
    <w:p>
      <w:pPr>
        <w:widowControl/>
        <w:shd w:val="clear" w:color="auto" w:fill="FFFFFF"/>
        <w:adjustRightInd/>
        <w:snapToGrid/>
        <w:spacing w:before="75" w:after="75"/>
        <w:ind w:firstLine="566" w:firstLineChars="184"/>
        <w:jc w:val="left"/>
        <w:rPr>
          <w:szCs w:val="28"/>
        </w:rPr>
      </w:pPr>
      <w:r>
        <w:rPr>
          <w:rFonts w:hint="eastAsia"/>
          <w:szCs w:val="28"/>
        </w:rPr>
        <w:t>考核指标：提出基于中国总膳食研究的食品安全暴露科学新理论，出版专著不少于</w:t>
      </w:r>
      <w:r>
        <w:rPr>
          <w:szCs w:val="28"/>
        </w:rPr>
        <w:t>1</w:t>
      </w:r>
      <w:r>
        <w:rPr>
          <w:rFonts w:hint="eastAsia"/>
          <w:szCs w:val="28"/>
        </w:rPr>
        <w:t>部；获得不同年龄</w:t>
      </w:r>
      <w:r>
        <w:rPr>
          <w:szCs w:val="28"/>
        </w:rPr>
        <w:t>-</w:t>
      </w:r>
      <w:r>
        <w:rPr>
          <w:rFonts w:hint="eastAsia"/>
          <w:szCs w:val="28"/>
        </w:rPr>
        <w:t>性别组的膳食暴露量与食物贡献的构成谱，基于欧美和</w:t>
      </w:r>
      <w:r>
        <w:rPr>
          <w:szCs w:val="28"/>
        </w:rPr>
        <w:t>WHO</w:t>
      </w:r>
      <w:r>
        <w:rPr>
          <w:rFonts w:hint="eastAsia"/>
          <w:szCs w:val="28"/>
        </w:rPr>
        <w:t>引进暴露评估模型与基于生理学毒代毒理学模型，建立基于风险因子与代谢标志物表征及其与生物利用率关系的典型化学危害物在人群的外暴露与内暴露解析表征平台与数据库</w:t>
      </w:r>
      <w:r>
        <w:rPr>
          <w:szCs w:val="28"/>
        </w:rPr>
        <w:t>1</w:t>
      </w:r>
      <w:r>
        <w:rPr>
          <w:rFonts w:hint="eastAsia"/>
          <w:szCs w:val="28"/>
        </w:rPr>
        <w:t>个（表征技术不少于</w:t>
      </w:r>
      <w:r>
        <w:rPr>
          <w:szCs w:val="28"/>
        </w:rPr>
        <w:t>25</w:t>
      </w:r>
      <w:r>
        <w:rPr>
          <w:rFonts w:hint="eastAsia"/>
          <w:szCs w:val="28"/>
        </w:rPr>
        <w:t>项），构建中国代表人群不少于</w:t>
      </w:r>
      <w:r>
        <w:rPr>
          <w:szCs w:val="28"/>
        </w:rPr>
        <w:t>200</w:t>
      </w:r>
      <w:r>
        <w:rPr>
          <w:rFonts w:hint="eastAsia"/>
          <w:szCs w:val="28"/>
        </w:rPr>
        <w:t>种热点污染物的内外暴露谱，至少获得二</w:t>
      </w:r>
      <w:r>
        <w:rPr>
          <w:rFonts w:hint="eastAsia" w:ascii="宋体" w:hAnsi="宋体" w:eastAsia="宋体" w:cs="宋体"/>
          <w:szCs w:val="28"/>
        </w:rPr>
        <w:t>噁</w:t>
      </w:r>
      <w:r>
        <w:rPr>
          <w:rFonts w:hint="eastAsia" w:ascii="仿宋_GB2312" w:hAnsi="仿宋_GB2312" w:cs="仿宋_GB2312"/>
          <w:szCs w:val="28"/>
        </w:rPr>
        <w:t>英</w:t>
      </w:r>
      <w:r>
        <w:rPr>
          <w:rFonts w:hint="eastAsia"/>
          <w:szCs w:val="28"/>
        </w:rPr>
        <w:t>毒性当量、镉或高氯酸盐等不少于</w:t>
      </w:r>
      <w:r>
        <w:rPr>
          <w:szCs w:val="28"/>
        </w:rPr>
        <w:t>5</w:t>
      </w:r>
      <w:r>
        <w:rPr>
          <w:rFonts w:hint="eastAsia"/>
          <w:szCs w:val="28"/>
        </w:rPr>
        <w:t>种热点食品污染物对健康影响的量-效关系。阐明暴露组学构建中的内外暴露关联机制与风险因子解析理论；制修订标准指标不少于</w:t>
      </w:r>
      <w:r>
        <w:rPr>
          <w:szCs w:val="28"/>
        </w:rPr>
        <w:t>8</w:t>
      </w:r>
      <w:r>
        <w:rPr>
          <w:rFonts w:hint="eastAsia"/>
          <w:szCs w:val="28"/>
        </w:rPr>
        <w:t>项；申请专利不少于</w:t>
      </w:r>
      <w:r>
        <w:rPr>
          <w:szCs w:val="28"/>
        </w:rPr>
        <w:t>5</w:t>
      </w:r>
      <w:r>
        <w:rPr>
          <w:rFonts w:hint="eastAsia"/>
          <w:szCs w:val="28"/>
        </w:rPr>
        <w:t>项，发表</w:t>
      </w:r>
      <w:r>
        <w:rPr>
          <w:szCs w:val="28"/>
        </w:rPr>
        <w:t>SCI</w:t>
      </w:r>
      <w:r>
        <w:rPr>
          <w:rFonts w:hint="eastAsia"/>
          <w:szCs w:val="28"/>
        </w:rPr>
        <w:t>论文不少于</w:t>
      </w:r>
      <w:r>
        <w:rPr>
          <w:szCs w:val="28"/>
        </w:rPr>
        <w:t>50</w:t>
      </w:r>
      <w:r>
        <w:rPr>
          <w:rFonts w:hint="eastAsia"/>
          <w:szCs w:val="28"/>
        </w:rPr>
        <w:t>篇。</w:t>
      </w:r>
    </w:p>
    <w:p>
      <w:pPr>
        <w:widowControl/>
        <w:shd w:val="clear" w:color="auto" w:fill="FFFFFF"/>
        <w:adjustRightInd/>
        <w:snapToGrid/>
        <w:spacing w:before="75" w:after="75"/>
        <w:ind w:firstLine="566" w:firstLineChars="184"/>
        <w:jc w:val="left"/>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widowControl/>
        <w:shd w:val="clear" w:color="auto" w:fill="FFFFFF"/>
        <w:adjustRightInd/>
        <w:snapToGrid/>
        <w:spacing w:before="75" w:after="75"/>
        <w:ind w:firstLine="566" w:firstLineChars="184"/>
        <w:jc w:val="left"/>
        <w:rPr>
          <w:szCs w:val="28"/>
        </w:rPr>
      </w:pPr>
      <w:r>
        <w:rPr>
          <w:rFonts w:hint="eastAsia"/>
          <w:szCs w:val="28"/>
        </w:rPr>
        <w:t>拟支持项目数：</w:t>
      </w:r>
      <w:r>
        <w:rPr>
          <w:szCs w:val="28"/>
        </w:rPr>
        <w:t>1-2</w:t>
      </w:r>
      <w:r>
        <w:rPr>
          <w:rFonts w:hint="eastAsia"/>
          <w:szCs w:val="28"/>
        </w:rPr>
        <w:t>项</w:t>
      </w:r>
    </w:p>
    <w:p>
      <w:pPr>
        <w:adjustRightInd/>
        <w:snapToGrid/>
        <w:ind w:firstLine="618"/>
        <w:rPr>
          <w:szCs w:val="28"/>
        </w:rPr>
      </w:pPr>
      <w:r>
        <w:rPr>
          <w:rFonts w:hint="eastAsia"/>
          <w:b/>
          <w:szCs w:val="28"/>
        </w:rPr>
        <w:t>任务二</w:t>
      </w:r>
      <w:r>
        <w:rPr>
          <w:b/>
          <w:szCs w:val="28"/>
        </w:rPr>
        <w:t xml:space="preserve">. </w:t>
      </w:r>
      <w:r>
        <w:rPr>
          <w:rFonts w:hint="eastAsia"/>
          <w:b/>
          <w:szCs w:val="28"/>
        </w:rPr>
        <w:t>食品安全关键技术和产品研发</w:t>
      </w:r>
    </w:p>
    <w:p>
      <w:pPr>
        <w:adjustRightInd/>
        <w:snapToGrid/>
        <w:ind w:firstLine="618"/>
        <w:rPr>
          <w:b/>
          <w:szCs w:val="28"/>
        </w:rPr>
      </w:pPr>
      <w:r>
        <w:rPr>
          <w:rFonts w:hint="eastAsia"/>
          <w:b/>
          <w:szCs w:val="28"/>
        </w:rPr>
        <w:t>（1）食品供应链危害物识别与防控技术研究</w:t>
      </w:r>
    </w:p>
    <w:p>
      <w:pPr>
        <w:adjustRightInd/>
        <w:snapToGrid/>
        <w:ind w:firstLine="616"/>
        <w:rPr>
          <w:szCs w:val="28"/>
        </w:rPr>
      </w:pPr>
      <w:r>
        <w:rPr>
          <w:rFonts w:hint="eastAsia"/>
          <w:szCs w:val="28"/>
        </w:rPr>
        <w:t>研究内容：系统研究国家粮食收储供应质量安全监测调查采（扦）样技术和规范，构建典型区域粮食污染物数据库；开展粮油等食品储藏运输流通过程的危害因子电化学、光谱、波谱、传感器监测等实时监测技术研究，建立在线实时检测专用装置和配套软件系统；开展典型食品供应链过程中污染物的危害识别，构建食品危害物特征指纹图谱库；确定典型食品供应链的预警指示危害物，研究食品危害物风险定量关系模型，建立不同类型食品供应链的快速预警防控系统；开展养殖环境、气候、捕捞等因素中对海洋食品安全至关重要的源头危害物的识别和防控，建立从海洋到餐桌全供应链危害物识别与防控技术体系；开展天然产物定向阻断、物理阻隔、生物酶干预等食品储藏运输流通环节防控技术研究。</w:t>
      </w:r>
    </w:p>
    <w:p>
      <w:pPr>
        <w:adjustRightInd/>
        <w:snapToGrid/>
        <w:ind w:firstLine="616"/>
        <w:rPr>
          <w:szCs w:val="28"/>
        </w:rPr>
      </w:pPr>
      <w:r>
        <w:rPr>
          <w:rFonts w:hint="eastAsia"/>
          <w:szCs w:val="28"/>
        </w:rPr>
        <w:t>考核指标：针对食品供应链中贮藏运输流通环境的复杂性、保质处理方式的多样性，建立粮食收储质量安全采（扦）样技术标准规范1项，开发解析、确证食品危害因子来源的技术不少于10种，建立危害物在线监测技术不少于20种，建立从原料到成品危害物定量关系模型不少于15个，建立粮油、海洋食品等典型食品产业链危害物预警网络系统不少于5个，监测专用装置和配套软件系统不少于15台（套），构建产业链污染物数据库不少于1套，形成粮油、海洋食品等典型食品中主要危害物全产业链预防与降低过程控制技术规范不少于6个，建立食品监测与鉴别标签技术1 套；申请专利不少于8项，发表论文不少于50篇。</w:t>
      </w:r>
    </w:p>
    <w:p>
      <w:pPr>
        <w:adjustRightInd/>
        <w:snapToGrid/>
        <w:ind w:firstLine="616"/>
        <w:rPr>
          <w:szCs w:val="28"/>
        </w:rPr>
      </w:pPr>
      <w:r>
        <w:rPr>
          <w:rFonts w:hint="eastAsia"/>
          <w:szCs w:val="28"/>
        </w:rPr>
        <w:t>支持年限：2017年-2021年</w:t>
      </w:r>
    </w:p>
    <w:p>
      <w:pPr>
        <w:adjustRightInd/>
        <w:snapToGrid/>
        <w:ind w:firstLine="616"/>
        <w:rPr>
          <w:szCs w:val="28"/>
        </w:rPr>
      </w:pPr>
      <w:r>
        <w:rPr>
          <w:rFonts w:hint="eastAsia"/>
          <w:szCs w:val="28"/>
        </w:rPr>
        <w:t>拟支持项目数：1-2项</w:t>
      </w:r>
    </w:p>
    <w:p>
      <w:pPr>
        <w:adjustRightInd/>
        <w:snapToGrid/>
        <w:ind w:firstLine="618"/>
        <w:rPr>
          <w:b/>
          <w:szCs w:val="28"/>
        </w:rPr>
      </w:pPr>
      <w:r>
        <w:rPr>
          <w:rFonts w:hint="eastAsia"/>
          <w:b/>
          <w:szCs w:val="28"/>
        </w:rPr>
        <w:t>（2）食品腐败变质以及粮食霉变影响因素的智能化实时监测预警技术研究</w:t>
      </w:r>
    </w:p>
    <w:p>
      <w:pPr>
        <w:adjustRightInd/>
        <w:snapToGrid/>
        <w:ind w:firstLine="616"/>
        <w:rPr>
          <w:szCs w:val="28"/>
        </w:rPr>
      </w:pPr>
      <w:r>
        <w:rPr>
          <w:rFonts w:hint="eastAsia"/>
          <w:szCs w:val="28"/>
        </w:rPr>
        <w:t>研究内容：分别研究造成动物性食品、果蔬腐败变质以及粮食霉变、虫害发生发展的各种影响因素及其原理，并综合应用物联感知和互联网技术，建立智能化实时监测、评价、预警技术；研究分析食品生产经营与餐饮服务造成食品污染发生发展的违规操作特征行为，建立实时监测和报警技术；研究分析食品生产加工过程常见异物污染，建立智能化生产线监测与分拣技术；研究建立粮食杀虫效果评价模型以及杀虫过程实时监测技术；研发食品腐败变质、粮食霉变虫害以及食品加工违规操作行为与异物污染等的智能化实时监测预警物联感知与数据处理相关设备设施。</w:t>
      </w:r>
    </w:p>
    <w:p>
      <w:pPr>
        <w:adjustRightInd/>
        <w:snapToGrid/>
        <w:ind w:firstLine="616"/>
        <w:rPr>
          <w:szCs w:val="28"/>
        </w:rPr>
      </w:pPr>
      <w:r>
        <w:rPr>
          <w:rFonts w:hint="eastAsia"/>
          <w:szCs w:val="28"/>
        </w:rPr>
        <w:t>考核指标：针对造成食品腐败变质、粮食霉变虫害、食品污染的各种违规操作行为与影响因素，分别建立动物食品、果蔬腐败变质以及粮食霉变、虫害影响因素的智能化实时监测预警系统不少于5套，构建适用于国家和省、地（市）相关监管机构的高风险食品冷链监管平台，并分别在不少于2个省的</w:t>
      </w:r>
      <w:r>
        <w:rPr>
          <w:szCs w:val="28"/>
        </w:rPr>
        <w:t>20</w:t>
      </w:r>
      <w:r>
        <w:rPr>
          <w:rFonts w:hint="eastAsia"/>
          <w:szCs w:val="28"/>
        </w:rPr>
        <w:t>家监管机构和企业进行验证性应用；建立食品污染违规操作行为智能化实时监测报警系统不少于</w:t>
      </w:r>
      <w:r>
        <w:rPr>
          <w:szCs w:val="28"/>
        </w:rPr>
        <w:t>1</w:t>
      </w:r>
      <w:r>
        <w:rPr>
          <w:rFonts w:hint="eastAsia"/>
          <w:szCs w:val="28"/>
        </w:rPr>
        <w:t>套，监控违规操作特征行为不少于</w:t>
      </w:r>
      <w:r>
        <w:rPr>
          <w:szCs w:val="28"/>
        </w:rPr>
        <w:t>20</w:t>
      </w:r>
      <w:r>
        <w:rPr>
          <w:rFonts w:hint="eastAsia"/>
          <w:szCs w:val="28"/>
        </w:rPr>
        <w:t>项，并在不少于2个省的</w:t>
      </w:r>
      <w:r>
        <w:rPr>
          <w:szCs w:val="28"/>
        </w:rPr>
        <w:t>20</w:t>
      </w:r>
      <w:r>
        <w:rPr>
          <w:rFonts w:hint="eastAsia"/>
          <w:szCs w:val="28"/>
        </w:rPr>
        <w:t>家监管机构和企业进行验证性应用；研发食品异物污染智能化监测系统不少于5套；研发食品腐败变质、粮食霉变虫害、食品加工违规操作行为与异物污染等的智能化实时监测预警的物联感知与数据处理相关设备设施不少于</w:t>
      </w:r>
      <w:r>
        <w:rPr>
          <w:szCs w:val="28"/>
        </w:rPr>
        <w:t>1</w:t>
      </w:r>
      <w:r>
        <w:rPr>
          <w:rFonts w:hint="eastAsia"/>
          <w:szCs w:val="28"/>
        </w:rPr>
        <w:t>5套，并在不少于2个省的</w:t>
      </w:r>
      <w:r>
        <w:rPr>
          <w:szCs w:val="28"/>
        </w:rPr>
        <w:t>20</w:t>
      </w:r>
      <w:r>
        <w:rPr>
          <w:rFonts w:hint="eastAsia"/>
          <w:szCs w:val="28"/>
        </w:rPr>
        <w:t>家监管机构和企业进行验证性应用；建立粮食杀虫过程监控与杀虫效果评估系统不少于2套，并在不少于2个省的</w:t>
      </w:r>
      <w:r>
        <w:rPr>
          <w:szCs w:val="28"/>
        </w:rPr>
        <w:t>10</w:t>
      </w:r>
      <w:r>
        <w:rPr>
          <w:rFonts w:hint="eastAsia"/>
          <w:szCs w:val="28"/>
        </w:rPr>
        <w:t>家监管机构和企业进行验证性应用；建立食品生产经营以及粮食储藏场所的生物恐怖防护预警系统不少于</w:t>
      </w:r>
      <w:r>
        <w:rPr>
          <w:szCs w:val="28"/>
        </w:rPr>
        <w:t>2</w:t>
      </w:r>
      <w:r>
        <w:rPr>
          <w:rFonts w:hint="eastAsia"/>
          <w:szCs w:val="28"/>
        </w:rPr>
        <w:t>套，并在不少于2个省的</w:t>
      </w:r>
      <w:r>
        <w:rPr>
          <w:szCs w:val="28"/>
        </w:rPr>
        <w:t>10</w:t>
      </w:r>
      <w:r>
        <w:rPr>
          <w:rFonts w:hint="eastAsia"/>
          <w:szCs w:val="28"/>
        </w:rPr>
        <w:t>家监管机构和企业进行验证性应用；研发基于传感与互联网数据传输技术的监测预警设备，其敏感度、准确度以及响应度等应达到当前国内或国际先进水平；起草食品防腐、粮食防霉和杀虫、防污染良好生产经营操作标准文件不少于</w:t>
      </w:r>
      <w:r>
        <w:rPr>
          <w:szCs w:val="28"/>
        </w:rPr>
        <w:t>5</w:t>
      </w:r>
      <w:r>
        <w:rPr>
          <w:rFonts w:hint="eastAsia"/>
          <w:szCs w:val="28"/>
        </w:rPr>
        <w:t>个，申请国家专利不少于8项，发表论文不少于</w:t>
      </w:r>
      <w:r>
        <w:rPr>
          <w:szCs w:val="28"/>
        </w:rPr>
        <w:t>8</w:t>
      </w:r>
      <w:r>
        <w:rPr>
          <w:rFonts w:hint="eastAsia"/>
          <w:szCs w:val="28"/>
        </w:rPr>
        <w:t>篇。</w:t>
      </w:r>
    </w:p>
    <w:p>
      <w:pPr>
        <w:adjustRightInd/>
        <w:snapToGrid/>
        <w:ind w:firstLine="616"/>
        <w:rPr>
          <w:szCs w:val="28"/>
        </w:rPr>
      </w:pPr>
      <w:r>
        <w:rPr>
          <w:rFonts w:hint="eastAsia"/>
          <w:szCs w:val="28"/>
        </w:rPr>
        <w:t>支持年限：2017年-2020年</w:t>
      </w:r>
    </w:p>
    <w:p>
      <w:pPr>
        <w:adjustRightInd/>
        <w:snapToGrid/>
        <w:ind w:firstLine="616"/>
        <w:rPr>
          <w:szCs w:val="28"/>
        </w:rPr>
      </w:pPr>
      <w:r>
        <w:rPr>
          <w:rFonts w:hint="eastAsia"/>
          <w:szCs w:val="28"/>
        </w:rPr>
        <w:t>拟支持项目数：1-2项</w:t>
      </w:r>
    </w:p>
    <w:p>
      <w:pPr>
        <w:adjustRightInd/>
        <w:snapToGrid/>
        <w:ind w:firstLine="618"/>
        <w:rPr>
          <w:b/>
          <w:szCs w:val="28"/>
        </w:rPr>
      </w:pPr>
      <w:r>
        <w:rPr>
          <w:rFonts w:hint="eastAsia"/>
          <w:b/>
          <w:szCs w:val="28"/>
        </w:rPr>
        <w:t>（3）食品中生物源危害物阻控技术及其安全性评价</w:t>
      </w:r>
    </w:p>
    <w:p>
      <w:pPr>
        <w:adjustRightInd/>
        <w:snapToGrid/>
        <w:ind w:firstLine="616"/>
        <w:rPr>
          <w:szCs w:val="28"/>
        </w:rPr>
      </w:pPr>
      <w:r>
        <w:rPr>
          <w:rFonts w:hint="eastAsia"/>
          <w:szCs w:val="28"/>
        </w:rPr>
        <w:t>研究内容：研发霉菌阻控技术和产品，建立霉菌污染食品的分级利用技术体系；研发真菌毒素污染食品的分选与处理技术，研制相应的分级筛选与处理装备；研发真菌毒素（玉米赤霉烯酮、黄曲霉毒素、呕吐毒素）生物酶解技术，研制真菌毒素脱毒酶制剂和菌制剂，进行产业化应用示范</w:t>
      </w:r>
      <w:r>
        <w:rPr>
          <w:szCs w:val="28"/>
        </w:rPr>
        <w:t>；</w:t>
      </w:r>
      <w:r>
        <w:rPr>
          <w:rFonts w:hint="eastAsia"/>
          <w:szCs w:val="28"/>
        </w:rPr>
        <w:t>阐明脱毒机制，明确降解产物结构，开展降解产物和脱毒制剂的安全性评价；研发食品内源毒素（有毒生物碱、毒胺等）的生物、化学和物理阻控技术和产品，评价阻控技术和产品的安全性，开展降解产物的安全性评价；研发食品中致病菌新型减菌技术和装备，研发食品致敏原的物理和加工脱敏技术，评价脱敏产品的安全性。</w:t>
      </w:r>
    </w:p>
    <w:p>
      <w:pPr>
        <w:adjustRightInd/>
        <w:snapToGrid/>
        <w:ind w:firstLine="769" w:firstLineChars="250"/>
        <w:rPr>
          <w:szCs w:val="28"/>
        </w:rPr>
      </w:pPr>
      <w:r>
        <w:rPr>
          <w:rFonts w:hint="eastAsia"/>
          <w:szCs w:val="28"/>
        </w:rPr>
        <w:t>考核指标：研发食品中生物源危害物绿色安全阻控技术不少于</w:t>
      </w:r>
      <w:r>
        <w:rPr>
          <w:szCs w:val="28"/>
        </w:rPr>
        <w:t>16</w:t>
      </w:r>
      <w:r>
        <w:rPr>
          <w:rFonts w:hint="eastAsia"/>
          <w:szCs w:val="28"/>
        </w:rPr>
        <w:t>项；研制绿色安全的阻控酶制剂、菌制剂、化学制剂等产品不少于</w:t>
      </w:r>
      <w:r>
        <w:rPr>
          <w:szCs w:val="28"/>
        </w:rPr>
        <w:t>10</w:t>
      </w:r>
      <w:r>
        <w:rPr>
          <w:rFonts w:hint="eastAsia"/>
          <w:szCs w:val="28"/>
        </w:rPr>
        <w:t>个；建立酶制剂或菌制剂产业化应用示范线不少于</w:t>
      </w:r>
      <w:r>
        <w:rPr>
          <w:szCs w:val="28"/>
        </w:rPr>
        <w:t>2</w:t>
      </w:r>
      <w:r>
        <w:rPr>
          <w:rFonts w:hint="eastAsia"/>
          <w:szCs w:val="28"/>
        </w:rPr>
        <w:t>条；研发食品的分级和高值化利用技术不少于</w:t>
      </w:r>
      <w:r>
        <w:rPr>
          <w:szCs w:val="28"/>
        </w:rPr>
        <w:t>5</w:t>
      </w:r>
      <w:r>
        <w:rPr>
          <w:rFonts w:hint="eastAsia"/>
          <w:szCs w:val="28"/>
        </w:rPr>
        <w:t>项、装置不少于</w:t>
      </w:r>
      <w:r>
        <w:rPr>
          <w:szCs w:val="28"/>
        </w:rPr>
        <w:t>3</w:t>
      </w:r>
      <w:r>
        <w:rPr>
          <w:rFonts w:hint="eastAsia"/>
          <w:szCs w:val="28"/>
        </w:rPr>
        <w:t>套；研发新型减菌技术不少于</w:t>
      </w:r>
      <w:r>
        <w:rPr>
          <w:szCs w:val="28"/>
        </w:rPr>
        <w:t>4</w:t>
      </w:r>
      <w:r>
        <w:rPr>
          <w:rFonts w:hint="eastAsia"/>
          <w:szCs w:val="28"/>
        </w:rPr>
        <w:t>项、脱敏技术不少于</w:t>
      </w:r>
      <w:r>
        <w:rPr>
          <w:szCs w:val="28"/>
        </w:rPr>
        <w:t>3</w:t>
      </w:r>
      <w:r>
        <w:rPr>
          <w:rFonts w:hint="eastAsia"/>
          <w:szCs w:val="28"/>
        </w:rPr>
        <w:t>项、新装备不少于</w:t>
      </w:r>
      <w:r>
        <w:rPr>
          <w:szCs w:val="28"/>
        </w:rPr>
        <w:t>3</w:t>
      </w:r>
      <w:r>
        <w:rPr>
          <w:rFonts w:hint="eastAsia"/>
          <w:szCs w:val="28"/>
        </w:rPr>
        <w:t>套；评价不少于</w:t>
      </w:r>
      <w:r>
        <w:rPr>
          <w:szCs w:val="28"/>
        </w:rPr>
        <w:t>6</w:t>
      </w:r>
      <w:r>
        <w:rPr>
          <w:rFonts w:hint="eastAsia"/>
          <w:szCs w:val="28"/>
        </w:rPr>
        <w:t>种有毒物质降解产物的安全性；评价不少于</w:t>
      </w:r>
      <w:r>
        <w:rPr>
          <w:szCs w:val="28"/>
        </w:rPr>
        <w:t>4</w:t>
      </w:r>
      <w:r>
        <w:rPr>
          <w:rFonts w:hint="eastAsia"/>
          <w:szCs w:val="28"/>
        </w:rPr>
        <w:t>种阻控、降解技术的安全性。建立绿色安全的食品中生物源危害物阻控技术体系，提出相关技术规程或标准（草案）不少于</w:t>
      </w:r>
      <w:r>
        <w:rPr>
          <w:szCs w:val="28"/>
        </w:rPr>
        <w:t>5</w:t>
      </w:r>
      <w:r>
        <w:rPr>
          <w:rFonts w:hint="eastAsia"/>
          <w:szCs w:val="28"/>
        </w:rPr>
        <w:t>项，申请专利不少于</w:t>
      </w:r>
      <w:r>
        <w:rPr>
          <w:szCs w:val="28"/>
        </w:rPr>
        <w:t>20</w:t>
      </w:r>
      <w:r>
        <w:rPr>
          <w:rFonts w:hint="eastAsia"/>
          <w:szCs w:val="28"/>
        </w:rPr>
        <w:t>项，发表研究论文不少于</w:t>
      </w:r>
      <w:r>
        <w:rPr>
          <w:szCs w:val="28"/>
        </w:rPr>
        <w:t>50</w:t>
      </w:r>
      <w:r>
        <w:rPr>
          <w:rFonts w:hint="eastAsia"/>
          <w:szCs w:val="28"/>
        </w:rPr>
        <w:t>篇。</w:t>
      </w:r>
    </w:p>
    <w:p>
      <w:pPr>
        <w:adjustRightInd/>
        <w:snapToGrid/>
        <w:ind w:firstLineChars="208"/>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adjustRightInd/>
        <w:snapToGrid/>
        <w:ind w:firstLineChars="208"/>
        <w:rPr>
          <w:szCs w:val="28"/>
        </w:rPr>
      </w:pPr>
      <w:r>
        <w:rPr>
          <w:rFonts w:hint="eastAsia"/>
          <w:szCs w:val="28"/>
        </w:rPr>
        <w:t>拟支持项目数：</w:t>
      </w:r>
      <w:r>
        <w:rPr>
          <w:szCs w:val="28"/>
        </w:rPr>
        <w:t>1-2</w:t>
      </w:r>
      <w:r>
        <w:rPr>
          <w:rFonts w:hint="eastAsia"/>
          <w:szCs w:val="28"/>
        </w:rPr>
        <w:t>项</w:t>
      </w:r>
    </w:p>
    <w:p>
      <w:pPr>
        <w:adjustRightInd/>
        <w:snapToGrid/>
        <w:ind w:firstLine="618"/>
        <w:rPr>
          <w:b/>
          <w:szCs w:val="28"/>
        </w:rPr>
      </w:pPr>
      <w:r>
        <w:rPr>
          <w:rFonts w:hint="eastAsia"/>
          <w:b/>
          <w:szCs w:val="28"/>
        </w:rPr>
        <w:t>（4）食源性致病微生物快速检测检验技术与装备研发</w:t>
      </w:r>
    </w:p>
    <w:p>
      <w:pPr>
        <w:adjustRightInd/>
        <w:snapToGrid/>
        <w:ind w:firstLine="616"/>
        <w:rPr>
          <w:szCs w:val="28"/>
        </w:rPr>
      </w:pPr>
      <w:r>
        <w:rPr>
          <w:rFonts w:hint="eastAsia"/>
          <w:szCs w:val="28"/>
        </w:rPr>
        <w:t>研究内容：建立我国食品微生物安全风险识别数据库、主要食源性致病微生物菌种资源库、全基因组数据库和基于</w:t>
      </w:r>
      <w:r>
        <w:rPr>
          <w:szCs w:val="28"/>
        </w:rPr>
        <w:t>gMLST</w:t>
      </w:r>
      <w:r>
        <w:rPr>
          <w:rFonts w:hint="eastAsia"/>
          <w:szCs w:val="28"/>
        </w:rPr>
        <w:t>的分子溯源数据库；针对食品样品基质复杂和致病微生物浓度低的特点，开发快速富集技术与设备；基于新型高灵敏度、高特异性探针技术，发展食品中致病菌（沙门氏菌、金黄色葡萄球菌、单增李氏杆菌等）、病毒（诺如病毒、甲肝病毒等肠道病毒）和寄生虫（猪囊虫、旋毛虫、隐孢子虫及贾第虫）的新型高通量检测技术并开发其配套试剂与装备，研究食源性致病微生物快速检测及多重检测的试剂或便携式检测仪器；建立产毒真菌及其毒素非靶向全景快速检测技术，实现食品中产毒真菌和毒素的快速检测。</w:t>
      </w:r>
    </w:p>
    <w:p>
      <w:pPr>
        <w:adjustRightInd/>
        <w:snapToGrid/>
        <w:ind w:firstLine="616"/>
        <w:rPr>
          <w:szCs w:val="28"/>
        </w:rPr>
      </w:pPr>
      <w:r>
        <w:rPr>
          <w:rFonts w:hint="eastAsia"/>
          <w:szCs w:val="28"/>
        </w:rPr>
        <w:t>考核指标：建立我国食品微生物安全风险识别数据库，食源性致病微生物菌种资源库，保藏量30000株以上；在此基础上完成</w:t>
      </w:r>
      <w:r>
        <w:rPr>
          <w:szCs w:val="28"/>
        </w:rPr>
        <w:t>10000</w:t>
      </w:r>
      <w:r>
        <w:rPr>
          <w:rFonts w:hint="eastAsia"/>
          <w:szCs w:val="28"/>
        </w:rPr>
        <w:t>株以上食源性致病微生物全基因组测序，构建我国食源性致病微生物全基因组数据库和基于</w:t>
      </w:r>
      <w:r>
        <w:rPr>
          <w:szCs w:val="28"/>
        </w:rPr>
        <w:t>gMLST</w:t>
      </w:r>
      <w:r>
        <w:rPr>
          <w:rFonts w:hint="eastAsia"/>
          <w:szCs w:val="28"/>
        </w:rPr>
        <w:t>的分子溯源数据库；建立</w:t>
      </w:r>
      <w:r>
        <w:rPr>
          <w:szCs w:val="28"/>
        </w:rPr>
        <w:t>5-8</w:t>
      </w:r>
      <w:r>
        <w:rPr>
          <w:rFonts w:hint="eastAsia"/>
          <w:szCs w:val="28"/>
        </w:rPr>
        <w:t>套食品中致病菌、病毒和寄生虫等高效、快速富集技术并研制出相关产品，富集效率达</w:t>
      </w:r>
      <w:r>
        <w:rPr>
          <w:szCs w:val="28"/>
        </w:rPr>
        <w:t>85%</w:t>
      </w:r>
      <w:r>
        <w:rPr>
          <w:rFonts w:hint="eastAsia"/>
          <w:szCs w:val="28"/>
        </w:rPr>
        <w:t>以上；鉴定出重要食源性致病微生物与毒素的检测检验新标识性分子15种以上；建立</w:t>
      </w:r>
      <w:r>
        <w:rPr>
          <w:szCs w:val="28"/>
        </w:rPr>
        <w:t>15-20</w:t>
      </w:r>
      <w:r>
        <w:rPr>
          <w:rFonts w:hint="eastAsia"/>
          <w:szCs w:val="28"/>
        </w:rPr>
        <w:t>项适宜于现场或便民的食品中致病菌、病毒、寄生虫、产毒真菌及其毒素的快速检测技术，致病菌和病毒检测灵敏度达到</w:t>
      </w:r>
      <w:r>
        <w:rPr>
          <w:szCs w:val="28"/>
        </w:rPr>
        <w:t>10</w:t>
      </w:r>
      <w:r>
        <w:rPr>
          <w:szCs w:val="28"/>
          <w:vertAlign w:val="superscript"/>
        </w:rPr>
        <w:t>3</w:t>
      </w:r>
      <w:r>
        <w:rPr>
          <w:szCs w:val="28"/>
        </w:rPr>
        <w:t xml:space="preserve">cfu/mL(g) </w:t>
      </w:r>
      <w:r>
        <w:rPr>
          <w:rFonts w:hint="eastAsia"/>
          <w:szCs w:val="28"/>
        </w:rPr>
        <w:t>、</w:t>
      </w:r>
      <w:r>
        <w:rPr>
          <w:szCs w:val="28"/>
        </w:rPr>
        <w:t>10</w:t>
      </w:r>
      <w:r>
        <w:rPr>
          <w:szCs w:val="28"/>
          <w:vertAlign w:val="superscript"/>
        </w:rPr>
        <w:t>3</w:t>
      </w:r>
      <w:r>
        <w:rPr>
          <w:szCs w:val="28"/>
        </w:rPr>
        <w:t>pfu/mL(g)</w:t>
      </w:r>
      <w:r>
        <w:rPr>
          <w:rFonts w:hint="eastAsia"/>
          <w:szCs w:val="28"/>
        </w:rPr>
        <w:t>，研制出新型高通量检测配套试剂</w:t>
      </w:r>
      <w:r>
        <w:rPr>
          <w:szCs w:val="28"/>
        </w:rPr>
        <w:t>15-</w:t>
      </w:r>
      <w:r>
        <w:rPr>
          <w:rFonts w:hint="eastAsia"/>
          <w:szCs w:val="28"/>
        </w:rPr>
        <w:t>20种与设备</w:t>
      </w:r>
      <w:r>
        <w:rPr>
          <w:szCs w:val="28"/>
        </w:rPr>
        <w:t>5-</w:t>
      </w:r>
      <w:r>
        <w:rPr>
          <w:rFonts w:hint="eastAsia"/>
          <w:szCs w:val="28"/>
        </w:rPr>
        <w:t>8套，相关检测技术和配套试剂应在不少于10家单位进行验证性评价应用；申请专利</w:t>
      </w:r>
      <w:r>
        <w:rPr>
          <w:szCs w:val="28"/>
        </w:rPr>
        <w:t>15-</w:t>
      </w:r>
      <w:r>
        <w:rPr>
          <w:rFonts w:hint="eastAsia"/>
          <w:szCs w:val="28"/>
        </w:rPr>
        <w:t>20项，其中国际</w:t>
      </w:r>
      <w:r>
        <w:rPr>
          <w:szCs w:val="28"/>
        </w:rPr>
        <w:t>PCT 5-8</w:t>
      </w:r>
      <w:r>
        <w:rPr>
          <w:rFonts w:hint="eastAsia"/>
          <w:szCs w:val="28"/>
        </w:rPr>
        <w:t>项；发表论文</w:t>
      </w:r>
      <w:r>
        <w:rPr>
          <w:szCs w:val="28"/>
        </w:rPr>
        <w:t>30-</w:t>
      </w:r>
      <w:r>
        <w:rPr>
          <w:rFonts w:hint="eastAsia"/>
          <w:szCs w:val="28"/>
        </w:rPr>
        <w:t>50篇，其中SCI 论文</w:t>
      </w:r>
      <w:r>
        <w:rPr>
          <w:szCs w:val="28"/>
        </w:rPr>
        <w:t>20-</w:t>
      </w:r>
      <w:r>
        <w:rPr>
          <w:rFonts w:hint="eastAsia"/>
          <w:szCs w:val="28"/>
        </w:rPr>
        <w:t>30篇；制定快速检测方法标准草案</w:t>
      </w:r>
      <w:r>
        <w:rPr>
          <w:szCs w:val="28"/>
        </w:rPr>
        <w:t>15-</w:t>
      </w:r>
      <w:r>
        <w:rPr>
          <w:rFonts w:hint="eastAsia"/>
          <w:szCs w:val="28"/>
        </w:rPr>
        <w:t>20项，提升我国食源性致病微生物检测技术水平与装备层次。</w:t>
      </w:r>
    </w:p>
    <w:p>
      <w:pPr>
        <w:adjustRightInd/>
        <w:snapToGrid/>
        <w:ind w:firstLine="616"/>
        <w:rPr>
          <w:szCs w:val="28"/>
        </w:rPr>
      </w:pPr>
      <w:r>
        <w:rPr>
          <w:rFonts w:hint="eastAsia"/>
          <w:szCs w:val="28"/>
        </w:rPr>
        <w:t>支持年限：2017 年-2021年</w:t>
      </w:r>
    </w:p>
    <w:p>
      <w:pPr>
        <w:adjustRightInd/>
        <w:snapToGrid/>
        <w:ind w:firstLine="616"/>
        <w:rPr>
          <w:szCs w:val="28"/>
        </w:rPr>
      </w:pPr>
      <w:r>
        <w:rPr>
          <w:rFonts w:hint="eastAsia"/>
          <w:szCs w:val="28"/>
        </w:rPr>
        <w:t>拟支持项目数：1-2 项</w:t>
      </w:r>
    </w:p>
    <w:p>
      <w:pPr>
        <w:adjustRightInd/>
        <w:snapToGrid/>
        <w:ind w:firstLine="618"/>
        <w:rPr>
          <w:b/>
          <w:szCs w:val="28"/>
        </w:rPr>
      </w:pPr>
      <w:r>
        <w:rPr>
          <w:rFonts w:hint="eastAsia"/>
          <w:b/>
          <w:szCs w:val="28"/>
        </w:rPr>
        <w:t>（5）用于食品监测检测及风险评估数据一致性参考物质共性技术研究</w:t>
      </w:r>
    </w:p>
    <w:p>
      <w:pPr>
        <w:adjustRightInd/>
        <w:snapToGrid/>
        <w:ind w:firstLine="616"/>
        <w:rPr>
          <w:szCs w:val="28"/>
        </w:rPr>
      </w:pPr>
      <w:r>
        <w:rPr>
          <w:rFonts w:hint="eastAsia"/>
          <w:szCs w:val="28"/>
        </w:rPr>
        <w:t>研究内容：针对食品安全检测、风险监测及风险评估中重要检测项目数据一致性评价的参考物质缺乏或依赖进口的状况，研制食品及相关产品基体中重要参考物质；研究典型食品中真菌毒素和海洋毒素参考物质；研究基于风险监测、风险评估的数据一致性评价的食品或生物基质参考物质；研究参考物质评价的替代检测方法，研制食品快速检测相关质量均衡性和一致性对照物质，并取得相关认可，用于食品安全抽检质量基础一致性评价，提高实验室能力评价的物质基础水平；针对不同食品基质的特性和制备目标，模拟制备过程，优化制备工艺，提出食品基体参考物质制备技术；分类制备实际污染来源的食物基体参考物质候选物，形成我国食物的实体参考物质候选库，提出可复制的候选物选择方案。</w:t>
      </w:r>
    </w:p>
    <w:p>
      <w:pPr>
        <w:adjustRightInd/>
        <w:snapToGrid/>
        <w:ind w:firstLine="616"/>
        <w:rPr>
          <w:szCs w:val="28"/>
        </w:rPr>
      </w:pPr>
      <w:r>
        <w:rPr>
          <w:rFonts w:hint="eastAsia"/>
          <w:szCs w:val="28"/>
        </w:rPr>
        <w:t>考核指标：围绕食品安全检测、风险监测及风险评估优先项目等数据一致性评价以及快速检测质量评价需要，研制重点食品新型基体参考物质不少于</w:t>
      </w:r>
      <w:r>
        <w:rPr>
          <w:szCs w:val="28"/>
        </w:rPr>
        <w:t>50</w:t>
      </w:r>
      <w:r>
        <w:rPr>
          <w:rFonts w:hint="eastAsia"/>
          <w:szCs w:val="28"/>
        </w:rPr>
        <w:t>种；食品相关产品参考物质不少于</w:t>
      </w:r>
      <w:r>
        <w:rPr>
          <w:szCs w:val="28"/>
        </w:rPr>
        <w:t>15</w:t>
      </w:r>
      <w:r>
        <w:rPr>
          <w:rFonts w:hint="eastAsia"/>
          <w:szCs w:val="28"/>
        </w:rPr>
        <w:t>种；建立谷物及制品、蔬菜及制品、肉及肉制品等食品参考物质候选库不少于</w:t>
      </w:r>
      <w:r>
        <w:rPr>
          <w:szCs w:val="28"/>
        </w:rPr>
        <w:t>5</w:t>
      </w:r>
      <w:r>
        <w:rPr>
          <w:rFonts w:hint="eastAsia"/>
          <w:szCs w:val="28"/>
        </w:rPr>
        <w:t>套；建立参考物质评价替代检验方法不少于</w:t>
      </w:r>
      <w:r>
        <w:rPr>
          <w:szCs w:val="28"/>
        </w:rPr>
        <w:t>10</w:t>
      </w:r>
      <w:r>
        <w:rPr>
          <w:rFonts w:hint="eastAsia"/>
          <w:szCs w:val="28"/>
        </w:rPr>
        <w:t>种，食品快速检测对照参考物质不少于</w:t>
      </w:r>
      <w:r>
        <w:rPr>
          <w:szCs w:val="28"/>
        </w:rPr>
        <w:t>30</w:t>
      </w:r>
      <w:r>
        <w:rPr>
          <w:rFonts w:hint="eastAsia"/>
          <w:szCs w:val="28"/>
        </w:rPr>
        <w:t>种；参考物质评价方法和实物参考物质获得不少于</w:t>
      </w:r>
      <w:r>
        <w:rPr>
          <w:szCs w:val="28"/>
        </w:rPr>
        <w:t>15</w:t>
      </w:r>
      <w:r>
        <w:rPr>
          <w:rFonts w:hint="eastAsia"/>
          <w:szCs w:val="28"/>
        </w:rPr>
        <w:t>个国家食品安全抽检任务承检机构或食品安全风险监测哨点单位验证；进行实验室间国际比对，形成国际实验室互认食品基体参考物质不少于</w:t>
      </w:r>
      <w:r>
        <w:rPr>
          <w:szCs w:val="28"/>
        </w:rPr>
        <w:t>5</w:t>
      </w:r>
      <w:r>
        <w:rPr>
          <w:rFonts w:hint="eastAsia"/>
          <w:szCs w:val="28"/>
        </w:rPr>
        <w:t>种；提出食物基体参考物质制备技术规范不少于</w:t>
      </w:r>
      <w:r>
        <w:rPr>
          <w:szCs w:val="28"/>
        </w:rPr>
        <w:t>8</w:t>
      </w:r>
      <w:r>
        <w:rPr>
          <w:rFonts w:hint="eastAsia"/>
          <w:szCs w:val="28"/>
        </w:rPr>
        <w:t>项；实物参考物质在全国不少于</w:t>
      </w:r>
      <w:r>
        <w:rPr>
          <w:szCs w:val="28"/>
        </w:rPr>
        <w:t>100</w:t>
      </w:r>
      <w:r>
        <w:rPr>
          <w:rFonts w:hint="eastAsia"/>
          <w:szCs w:val="28"/>
        </w:rPr>
        <w:t>家食品安全抽检承检机构或食品安全风险监测哨点单位应用；申请专利不少于</w:t>
      </w:r>
      <w:r>
        <w:rPr>
          <w:szCs w:val="28"/>
        </w:rPr>
        <w:t>8</w:t>
      </w:r>
      <w:r>
        <w:rPr>
          <w:rFonts w:hint="eastAsia"/>
          <w:szCs w:val="28"/>
        </w:rPr>
        <w:t>项，发表科研论文不少于</w:t>
      </w:r>
      <w:r>
        <w:rPr>
          <w:szCs w:val="28"/>
        </w:rPr>
        <w:t>30</w:t>
      </w:r>
      <w:r>
        <w:rPr>
          <w:rFonts w:hint="eastAsia"/>
          <w:szCs w:val="28"/>
        </w:rPr>
        <w:t>篇，弥补实验室能力评价手段不足或填补国内标准物质制备技术空白，达到国际互认水平。</w:t>
      </w:r>
    </w:p>
    <w:p>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adjustRightInd/>
        <w:snapToGrid/>
        <w:ind w:firstLine="616"/>
        <w:rPr>
          <w:szCs w:val="28"/>
        </w:rPr>
      </w:pPr>
      <w:r>
        <w:rPr>
          <w:rFonts w:hint="eastAsia"/>
          <w:szCs w:val="28"/>
        </w:rPr>
        <w:t>拟支持项目数：</w:t>
      </w:r>
      <w:r>
        <w:rPr>
          <w:szCs w:val="28"/>
        </w:rPr>
        <w:t>1-2</w:t>
      </w:r>
      <w:r>
        <w:rPr>
          <w:rFonts w:hint="eastAsia"/>
          <w:szCs w:val="28"/>
        </w:rPr>
        <w:t>项</w:t>
      </w:r>
    </w:p>
    <w:p>
      <w:pPr>
        <w:adjustRightInd/>
        <w:snapToGrid/>
        <w:ind w:firstLine="618"/>
        <w:rPr>
          <w:b/>
          <w:szCs w:val="28"/>
        </w:rPr>
      </w:pPr>
      <w:r>
        <w:rPr>
          <w:rFonts w:hint="eastAsia"/>
          <w:b/>
          <w:szCs w:val="28"/>
        </w:rPr>
        <w:t>（6）食品微生物检验相关参考物质体系研究及评价</w:t>
      </w:r>
    </w:p>
    <w:p>
      <w:pPr>
        <w:adjustRightInd/>
        <w:snapToGrid/>
        <w:ind w:firstLine="616"/>
        <w:rPr>
          <w:szCs w:val="28"/>
        </w:rPr>
      </w:pPr>
      <w:r>
        <w:rPr>
          <w:rFonts w:hint="eastAsia"/>
          <w:szCs w:val="28"/>
        </w:rPr>
        <w:t>研究内容：从制备、储存工艺等方面系统开展即用型微生物活体参考体系的制备、评价和应用，发展定性及定量相结合的微生物对照标准参考体系，建立具有独立知识产权的我国食品检验相关微生物标准菌（毒）种实物和参考数据库；进行食品微生物检验相关培养基参考和评价方式研究，形成可实施的规范和系列实物参考物质；开展以质谱检测和</w:t>
      </w:r>
      <w:r>
        <w:rPr>
          <w:szCs w:val="28"/>
        </w:rPr>
        <w:t>DNA</w:t>
      </w:r>
      <w:r>
        <w:rPr>
          <w:rFonts w:hint="eastAsia"/>
          <w:szCs w:val="28"/>
        </w:rPr>
        <w:t>鉴别为主要参照指标的微生物参比鉴定关键综合指标研究，构建食品微生物检验综合参比体系；针对我国食品微生物耐药特点，研究适用于我国食源性耐药微生物检测与追踪体系。</w:t>
      </w:r>
    </w:p>
    <w:p>
      <w:pPr>
        <w:adjustRightInd/>
        <w:snapToGrid/>
        <w:ind w:firstLine="616"/>
        <w:rPr>
          <w:szCs w:val="28"/>
        </w:rPr>
      </w:pPr>
      <w:r>
        <w:rPr>
          <w:rFonts w:hint="eastAsia"/>
          <w:szCs w:val="28"/>
        </w:rPr>
        <w:t>考核指标：针对食品微生物检验定性、定量参考物质体系不完整、培养基参考体系、质谱鉴定、</w:t>
      </w:r>
      <w:r>
        <w:rPr>
          <w:szCs w:val="28"/>
        </w:rPr>
        <w:t>DNA</w:t>
      </w:r>
      <w:r>
        <w:rPr>
          <w:rFonts w:hint="eastAsia"/>
          <w:szCs w:val="28"/>
        </w:rPr>
        <w:t>检测相关参考物质缺失等关键问题，建立新的即用型食品检验微生物参考物质不少于</w:t>
      </w:r>
      <w:r>
        <w:rPr>
          <w:szCs w:val="28"/>
        </w:rPr>
        <w:t>30</w:t>
      </w:r>
      <w:r>
        <w:rPr>
          <w:rFonts w:hint="eastAsia"/>
          <w:szCs w:val="28"/>
        </w:rPr>
        <w:t>种，微生物定性和定量对照参考体系实物候选库不少于</w:t>
      </w:r>
      <w:r>
        <w:rPr>
          <w:szCs w:val="28"/>
        </w:rPr>
        <w:t>5</w:t>
      </w:r>
      <w:r>
        <w:rPr>
          <w:rFonts w:hint="eastAsia"/>
          <w:szCs w:val="28"/>
        </w:rPr>
        <w:t>种，微生物标准菌（毒）种实物参考物质不少于</w:t>
      </w:r>
      <w:r>
        <w:rPr>
          <w:szCs w:val="28"/>
        </w:rPr>
        <w:t>600</w:t>
      </w:r>
      <w:r>
        <w:rPr>
          <w:rFonts w:hint="eastAsia"/>
          <w:szCs w:val="28"/>
        </w:rPr>
        <w:t>种，食品微生物检验参比培养基实物及指标体系不少于</w:t>
      </w:r>
      <w:r>
        <w:rPr>
          <w:szCs w:val="28"/>
        </w:rPr>
        <w:t>50</w:t>
      </w:r>
      <w:r>
        <w:rPr>
          <w:rFonts w:hint="eastAsia"/>
          <w:szCs w:val="28"/>
        </w:rPr>
        <w:t>套，质谱检测及</w:t>
      </w:r>
      <w:r>
        <w:rPr>
          <w:szCs w:val="28"/>
        </w:rPr>
        <w:t>DNA</w:t>
      </w:r>
      <w:r>
        <w:rPr>
          <w:rFonts w:hint="eastAsia"/>
          <w:szCs w:val="28"/>
        </w:rPr>
        <w:t>鉴别指标体系不少于</w:t>
      </w:r>
      <w:r>
        <w:rPr>
          <w:szCs w:val="28"/>
        </w:rPr>
        <w:t>20</w:t>
      </w:r>
      <w:r>
        <w:rPr>
          <w:rFonts w:hint="eastAsia"/>
          <w:szCs w:val="28"/>
        </w:rPr>
        <w:t>套，对应实物参照体系不少于</w:t>
      </w:r>
      <w:r>
        <w:rPr>
          <w:szCs w:val="28"/>
        </w:rPr>
        <w:t>30</w:t>
      </w:r>
      <w:r>
        <w:rPr>
          <w:rFonts w:hint="eastAsia"/>
          <w:szCs w:val="28"/>
        </w:rPr>
        <w:t>种；建立不少于</w:t>
      </w:r>
      <w:r>
        <w:rPr>
          <w:szCs w:val="28"/>
        </w:rPr>
        <w:t>30</w:t>
      </w:r>
      <w:r>
        <w:rPr>
          <w:rFonts w:hint="eastAsia"/>
          <w:szCs w:val="28"/>
        </w:rPr>
        <w:t>个包括食源性耐药微生物检测用培养基、抗生素、</w:t>
      </w:r>
      <w:r>
        <w:rPr>
          <w:szCs w:val="28"/>
        </w:rPr>
        <w:t>DNA</w:t>
      </w:r>
      <w:r>
        <w:rPr>
          <w:rFonts w:hint="eastAsia"/>
          <w:szCs w:val="28"/>
        </w:rPr>
        <w:t>等相关的实物及参考规范；参考物质方法和实物参考物质获得不少于</w:t>
      </w:r>
      <w:r>
        <w:rPr>
          <w:szCs w:val="28"/>
        </w:rPr>
        <w:t>15</w:t>
      </w:r>
      <w:r>
        <w:rPr>
          <w:rFonts w:hint="eastAsia"/>
          <w:szCs w:val="28"/>
        </w:rPr>
        <w:t>个国家食品安全抽检任务承检机构验证应用；参加国际比对或组织国内能力验证，实现等效互认不少于</w:t>
      </w:r>
      <w:r>
        <w:rPr>
          <w:szCs w:val="28"/>
        </w:rPr>
        <w:t>5</w:t>
      </w:r>
      <w:r>
        <w:rPr>
          <w:rFonts w:hint="eastAsia"/>
          <w:szCs w:val="28"/>
        </w:rPr>
        <w:t>项；参考物质方法和实物参考物质在全国不少于</w:t>
      </w:r>
      <w:r>
        <w:rPr>
          <w:szCs w:val="28"/>
        </w:rPr>
        <w:t>100</w:t>
      </w:r>
      <w:r>
        <w:rPr>
          <w:rFonts w:hint="eastAsia"/>
          <w:szCs w:val="28"/>
        </w:rPr>
        <w:t>家食品安全抽检承检机构应用；申请专利不少于</w:t>
      </w:r>
      <w:r>
        <w:rPr>
          <w:szCs w:val="28"/>
        </w:rPr>
        <w:t>10</w:t>
      </w:r>
      <w:r>
        <w:rPr>
          <w:rFonts w:hint="eastAsia"/>
          <w:szCs w:val="28"/>
        </w:rPr>
        <w:t>项，发表科研论文不少于</w:t>
      </w:r>
      <w:r>
        <w:rPr>
          <w:szCs w:val="28"/>
        </w:rPr>
        <w:t>50</w:t>
      </w:r>
      <w:r>
        <w:rPr>
          <w:rFonts w:hint="eastAsia"/>
          <w:szCs w:val="28"/>
        </w:rPr>
        <w:t>篇，其中</w:t>
      </w:r>
      <w:r>
        <w:rPr>
          <w:szCs w:val="28"/>
        </w:rPr>
        <w:t>SCI</w:t>
      </w:r>
      <w:r>
        <w:rPr>
          <w:rFonts w:hint="eastAsia"/>
          <w:szCs w:val="28"/>
        </w:rPr>
        <w:t>论文不少于</w:t>
      </w:r>
      <w:r>
        <w:rPr>
          <w:szCs w:val="28"/>
        </w:rPr>
        <w:t>5</w:t>
      </w:r>
      <w:r>
        <w:rPr>
          <w:rFonts w:hint="eastAsia"/>
          <w:szCs w:val="28"/>
        </w:rPr>
        <w:t>篇，促进我国食品微生物检验水平的整体提升。</w:t>
      </w:r>
    </w:p>
    <w:p>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adjustRightInd/>
        <w:snapToGrid/>
        <w:ind w:firstLine="616"/>
        <w:rPr>
          <w:szCs w:val="28"/>
        </w:rPr>
      </w:pPr>
      <w:r>
        <w:rPr>
          <w:rFonts w:hint="eastAsia"/>
          <w:szCs w:val="28"/>
        </w:rPr>
        <w:t>拟支持项目数：</w:t>
      </w:r>
      <w:r>
        <w:rPr>
          <w:szCs w:val="28"/>
        </w:rPr>
        <w:t>1-2</w:t>
      </w:r>
      <w:r>
        <w:rPr>
          <w:rFonts w:hint="eastAsia"/>
          <w:szCs w:val="28"/>
        </w:rPr>
        <w:t>项</w:t>
      </w:r>
    </w:p>
    <w:p>
      <w:pPr>
        <w:adjustRightInd/>
        <w:snapToGrid/>
        <w:ind w:firstLine="618"/>
        <w:rPr>
          <w:b/>
          <w:szCs w:val="28"/>
        </w:rPr>
      </w:pPr>
      <w:r>
        <w:rPr>
          <w:rFonts w:hint="eastAsia"/>
          <w:b/>
          <w:szCs w:val="28"/>
        </w:rPr>
        <w:t>（7）食源性疾病监测、溯源与预警技术研究</w:t>
      </w:r>
    </w:p>
    <w:p>
      <w:pPr>
        <w:adjustRightInd/>
        <w:snapToGrid/>
        <w:ind w:firstLine="616"/>
        <w:rPr>
          <w:szCs w:val="28"/>
        </w:rPr>
      </w:pPr>
      <w:r>
        <w:rPr>
          <w:rFonts w:hint="eastAsia"/>
          <w:szCs w:val="28"/>
        </w:rPr>
        <w:t>研究内容：以我国新发和重要食源性疾病为研究对象，阐明单核细胞增生李斯特氏菌、嗜盐性弧菌、非伤寒沙门氏菌感染的高危人群、高危食品的分布特征，探索食品和病人分离株的分子流行病学关联，建立暴发识别和溯源技术，升级完善我国食源性疾病分子溯源数据库和网络平台（</w:t>
      </w:r>
      <w:r>
        <w:rPr>
          <w:szCs w:val="28"/>
        </w:rPr>
        <w:t>TraNetChina</w:t>
      </w:r>
      <w:r>
        <w:rPr>
          <w:rFonts w:hint="eastAsia"/>
          <w:szCs w:val="28"/>
        </w:rPr>
        <w:t>）；综合利用流行病学、卫生统计学、生物信息学、信息化技术，研究我国常见食源性疾病病因特征，建立食品归因分析模型和统一的食品分类框架及分类语义库，实现多源数据的整合；采用数据挖掘、语义分析、分布式存储和流计算框架等技术，研究食源性疾病的传播规律和风险预警技术，构建基于大数据平台的食源性疾病传播流行规律预测预警模型，建立疾病暴发风险因子评估机制，通过对散发病例的食物同源性、时空相关性以及食品生产加工与物流等关联性分析，给出食源性疾病暴发的风险预警指数，实现数据驱动的紧急响应。</w:t>
      </w:r>
    </w:p>
    <w:p>
      <w:pPr>
        <w:adjustRightInd/>
        <w:snapToGrid/>
        <w:ind w:firstLine="616"/>
        <w:rPr>
          <w:szCs w:val="28"/>
        </w:rPr>
      </w:pPr>
      <w:r>
        <w:rPr>
          <w:rFonts w:hint="eastAsia"/>
          <w:szCs w:val="28"/>
        </w:rPr>
        <w:t>考核指标：阐明不少于</w:t>
      </w:r>
      <w:r>
        <w:rPr>
          <w:szCs w:val="28"/>
        </w:rPr>
        <w:t>5</w:t>
      </w:r>
      <w:r>
        <w:rPr>
          <w:rFonts w:hint="eastAsia"/>
          <w:szCs w:val="28"/>
        </w:rPr>
        <w:t>种重要食源性疾病的传播机制和病因特征；建立不少于</w:t>
      </w:r>
      <w:r>
        <w:rPr>
          <w:szCs w:val="28"/>
        </w:rPr>
        <w:t>10</w:t>
      </w:r>
      <w:r>
        <w:rPr>
          <w:rFonts w:hint="eastAsia"/>
          <w:szCs w:val="28"/>
        </w:rPr>
        <w:t>项食源性疾病诊断和调查的标准方法；构建不少于</w:t>
      </w:r>
      <w:r>
        <w:rPr>
          <w:szCs w:val="28"/>
        </w:rPr>
        <w:t>5</w:t>
      </w:r>
      <w:r>
        <w:rPr>
          <w:rFonts w:hint="eastAsia"/>
          <w:szCs w:val="28"/>
        </w:rPr>
        <w:t>个食源性疾病溯源分析数据库和不少于</w:t>
      </w:r>
      <w:r>
        <w:rPr>
          <w:szCs w:val="28"/>
        </w:rPr>
        <w:t>1</w:t>
      </w:r>
      <w:r>
        <w:rPr>
          <w:rFonts w:hint="eastAsia"/>
          <w:szCs w:val="28"/>
        </w:rPr>
        <w:t>个标准化分类词库；完成标准化基因序列分析功能模块不少于</w:t>
      </w:r>
      <w:r>
        <w:rPr>
          <w:szCs w:val="28"/>
        </w:rPr>
        <w:t>1</w:t>
      </w:r>
      <w:r>
        <w:rPr>
          <w:rFonts w:hint="eastAsia"/>
          <w:szCs w:val="28"/>
        </w:rPr>
        <w:t>套；建立不少于</w:t>
      </w:r>
      <w:r>
        <w:rPr>
          <w:szCs w:val="28"/>
        </w:rPr>
        <w:t>6</w:t>
      </w:r>
      <w:r>
        <w:rPr>
          <w:rFonts w:hint="eastAsia"/>
          <w:szCs w:val="28"/>
        </w:rPr>
        <w:t>种重要食源性疾病的食品归因分析模型和风险预警模型；建立基于多元监测数据融合、归因和关联分析的食源性疾病大数据分析和预警平台不少于</w:t>
      </w:r>
      <w:r>
        <w:rPr>
          <w:szCs w:val="28"/>
        </w:rPr>
        <w:t>1</w:t>
      </w:r>
      <w:r>
        <w:rPr>
          <w:rFonts w:hint="eastAsia"/>
          <w:szCs w:val="28"/>
        </w:rPr>
        <w:t>个，实现自动预警食源性疾病；食源性疾病致病微生物分子分型溯源网络应用于15 个省150 个地市进行食源性疾病同源病例关联、暴发早期识别、溯源和预警技术和食品安全事故流行病学调查，同时以案例方式开展食源性疾病监测示范。发表</w:t>
      </w:r>
      <w:r>
        <w:rPr>
          <w:szCs w:val="28"/>
        </w:rPr>
        <w:t>SCI</w:t>
      </w:r>
      <w:r>
        <w:rPr>
          <w:rFonts w:hint="eastAsia"/>
          <w:szCs w:val="28"/>
        </w:rPr>
        <w:t>论文不少于</w:t>
      </w:r>
      <w:r>
        <w:rPr>
          <w:szCs w:val="28"/>
        </w:rPr>
        <w:t>30</w:t>
      </w:r>
      <w:r>
        <w:rPr>
          <w:rFonts w:hint="eastAsia"/>
          <w:szCs w:val="28"/>
        </w:rPr>
        <w:t>篇；软件著作权不少于</w:t>
      </w:r>
      <w:r>
        <w:rPr>
          <w:szCs w:val="28"/>
        </w:rPr>
        <w:t>10</w:t>
      </w:r>
      <w:r>
        <w:rPr>
          <w:rFonts w:hint="eastAsia"/>
          <w:szCs w:val="28"/>
        </w:rPr>
        <w:t>项。</w:t>
      </w:r>
    </w:p>
    <w:p>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adjustRightInd/>
        <w:snapToGrid/>
        <w:ind w:firstLine="616"/>
        <w:rPr>
          <w:szCs w:val="28"/>
        </w:rPr>
      </w:pPr>
      <w:r>
        <w:rPr>
          <w:rFonts w:hint="eastAsia"/>
          <w:szCs w:val="28"/>
        </w:rPr>
        <w:t>拟支持项目数：</w:t>
      </w:r>
      <w:r>
        <w:rPr>
          <w:szCs w:val="28"/>
        </w:rPr>
        <w:t>1-2</w:t>
      </w:r>
      <w:r>
        <w:rPr>
          <w:rFonts w:hint="eastAsia"/>
          <w:szCs w:val="28"/>
        </w:rPr>
        <w:t>项</w:t>
      </w:r>
    </w:p>
    <w:p>
      <w:pPr>
        <w:adjustRightInd/>
        <w:snapToGrid/>
        <w:ind w:firstLine="616"/>
        <w:rPr>
          <w:szCs w:val="28"/>
        </w:rPr>
      </w:pPr>
      <w:r>
        <w:rPr>
          <w:rFonts w:hint="eastAsia"/>
          <w:szCs w:val="28"/>
        </w:rPr>
        <w:t>有关说明：</w:t>
      </w:r>
      <w:r>
        <w:rPr>
          <w:rFonts w:hint="eastAsia"/>
          <w:szCs w:val="28"/>
          <w:lang w:eastAsia="zh-CN"/>
        </w:rPr>
        <w:t>本项目</w:t>
      </w:r>
      <w:r>
        <w:rPr>
          <w:rFonts w:hint="eastAsia"/>
          <w:szCs w:val="28"/>
        </w:rPr>
        <w:t>需</w:t>
      </w:r>
      <w:r>
        <w:rPr>
          <w:rFonts w:hint="eastAsia"/>
          <w:szCs w:val="28"/>
          <w:lang w:eastAsia="zh-CN"/>
        </w:rPr>
        <w:t>要</w:t>
      </w:r>
      <w:r>
        <w:rPr>
          <w:rFonts w:hint="eastAsia"/>
          <w:szCs w:val="28"/>
        </w:rPr>
        <w:t>医疗机构参与。</w:t>
      </w:r>
    </w:p>
    <w:p>
      <w:pPr>
        <w:adjustRightInd/>
        <w:snapToGrid/>
        <w:ind w:firstLine="618"/>
        <w:rPr>
          <w:b/>
          <w:szCs w:val="28"/>
        </w:rPr>
      </w:pPr>
      <w:r>
        <w:rPr>
          <w:rFonts w:hint="eastAsia"/>
          <w:b/>
          <w:szCs w:val="28"/>
        </w:rPr>
        <w:t>（8）食品中全谱致癌物内源代谢规律及监测技术研究</w:t>
      </w:r>
    </w:p>
    <w:p>
      <w:pPr>
        <w:adjustRightInd/>
        <w:snapToGrid/>
        <w:ind w:firstLine="616"/>
        <w:rPr>
          <w:szCs w:val="28"/>
        </w:rPr>
      </w:pPr>
      <w:r>
        <w:rPr>
          <w:rFonts w:hint="eastAsia"/>
          <w:szCs w:val="28"/>
        </w:rPr>
        <w:t>研究内容：建立食品中全谱致癌物高效筛查与确认技术，定性定量分析食品中各类致癌物；系统分析食品中重点目标致癌物（</w:t>
      </w:r>
      <w:r>
        <w:rPr>
          <w:szCs w:val="28"/>
        </w:rPr>
        <w:t>I</w:t>
      </w:r>
      <w:r>
        <w:rPr>
          <w:rFonts w:hint="eastAsia"/>
          <w:szCs w:val="28"/>
        </w:rPr>
        <w:t>类）及其与特定肿瘤发生关系，建立各类食品中重点目标致癌物的富集和提取技术，通过对</w:t>
      </w:r>
      <w:r>
        <w:rPr>
          <w:szCs w:val="28"/>
        </w:rPr>
        <w:t>I</w:t>
      </w:r>
      <w:r>
        <w:rPr>
          <w:rFonts w:hint="eastAsia"/>
          <w:szCs w:val="28"/>
        </w:rPr>
        <w:t>类致癌物结构共性研究，发展</w:t>
      </w:r>
      <w:r>
        <w:rPr>
          <w:szCs w:val="28"/>
        </w:rPr>
        <w:t>I</w:t>
      </w:r>
      <w:r>
        <w:rPr>
          <w:rFonts w:hint="eastAsia"/>
          <w:szCs w:val="28"/>
        </w:rPr>
        <w:t>类致癌物痕量分析检测技术；研究致癌物的内源代谢规律，发现致癌物内源代谢特征谱，建立基于内源代谢物的致癌物追踪技术；针对细菌、病毒和生物毒素等生物致癌物，系统分析食品中生物类致癌物，实现对食品中生物类致癌物的监测；构建食品中致癌物识别特征谱及相关生命组学特征谱数据库并应用于全谱致癌物的筛查与确认，满足对食品中各类致癌物的定性或定量分析需求。</w:t>
      </w:r>
    </w:p>
    <w:p>
      <w:pPr>
        <w:adjustRightInd/>
        <w:snapToGrid/>
        <w:ind w:firstLine="616"/>
        <w:rPr>
          <w:szCs w:val="28"/>
        </w:rPr>
      </w:pPr>
      <w:r>
        <w:rPr>
          <w:rFonts w:hint="eastAsia"/>
          <w:szCs w:val="28"/>
        </w:rPr>
        <w:t>考核指标：建立食品中全谱致癌物高效筛查与确认技术不少于</w:t>
      </w:r>
      <w:r>
        <w:rPr>
          <w:szCs w:val="28"/>
        </w:rPr>
        <w:t>30</w:t>
      </w:r>
      <w:r>
        <w:rPr>
          <w:rFonts w:hint="eastAsia"/>
          <w:szCs w:val="28"/>
        </w:rPr>
        <w:t>项，并向食品安全检测相关部门进行技术推广；按国际数据标准构建食品中全谱致癌物识别特征谱及相关生命组学特征谱数据库；建立基于内源代谢规律的不少于</w:t>
      </w:r>
      <w:r>
        <w:rPr>
          <w:szCs w:val="28"/>
        </w:rPr>
        <w:t>3</w:t>
      </w:r>
      <w:r>
        <w:rPr>
          <w:rFonts w:hint="eastAsia"/>
          <w:szCs w:val="28"/>
        </w:rPr>
        <w:t>类致癌物追踪技术；建立</w:t>
      </w:r>
      <w:r>
        <w:rPr>
          <w:szCs w:val="28"/>
        </w:rPr>
        <w:t>I</w:t>
      </w:r>
      <w:r>
        <w:rPr>
          <w:rFonts w:hint="eastAsia"/>
          <w:szCs w:val="28"/>
        </w:rPr>
        <w:t>类致癌物痕量快速检测技术不少于</w:t>
      </w:r>
      <w:r>
        <w:rPr>
          <w:szCs w:val="28"/>
        </w:rPr>
        <w:t>40</w:t>
      </w:r>
      <w:r>
        <w:rPr>
          <w:rFonts w:hint="eastAsia"/>
          <w:szCs w:val="28"/>
        </w:rPr>
        <w:t>项。建立食品中致癌物监测技术体系。申请专利不少于</w:t>
      </w:r>
      <w:r>
        <w:rPr>
          <w:szCs w:val="28"/>
        </w:rPr>
        <w:t>10</w:t>
      </w:r>
      <w:r>
        <w:rPr>
          <w:rFonts w:hint="eastAsia"/>
          <w:szCs w:val="28"/>
        </w:rPr>
        <w:t>项，获得软件著作权不少于</w:t>
      </w:r>
      <w:r>
        <w:rPr>
          <w:szCs w:val="28"/>
        </w:rPr>
        <w:t>5</w:t>
      </w:r>
      <w:r>
        <w:rPr>
          <w:rFonts w:hint="eastAsia"/>
          <w:szCs w:val="28"/>
        </w:rPr>
        <w:t>项，发表</w:t>
      </w:r>
      <w:r>
        <w:rPr>
          <w:szCs w:val="28"/>
        </w:rPr>
        <w:t>SCI</w:t>
      </w:r>
      <w:r>
        <w:rPr>
          <w:rFonts w:hint="eastAsia"/>
          <w:szCs w:val="28"/>
        </w:rPr>
        <w:t>论文不少于</w:t>
      </w:r>
      <w:r>
        <w:rPr>
          <w:szCs w:val="28"/>
        </w:rPr>
        <w:t>20</w:t>
      </w:r>
      <w:r>
        <w:rPr>
          <w:rFonts w:hint="eastAsia"/>
          <w:szCs w:val="28"/>
        </w:rPr>
        <w:t>篇。</w:t>
      </w:r>
    </w:p>
    <w:p>
      <w:pPr>
        <w:adjustRightInd/>
        <w:snapToGrid/>
        <w:ind w:firstLine="616"/>
        <w:rPr>
          <w:szCs w:val="28"/>
        </w:rPr>
      </w:pPr>
      <w:r>
        <w:rPr>
          <w:rFonts w:hint="eastAsia"/>
          <w:szCs w:val="28"/>
        </w:rPr>
        <w:t>支持年限：</w:t>
      </w:r>
      <w:r>
        <w:rPr>
          <w:szCs w:val="28"/>
        </w:rPr>
        <w:t>2017</w:t>
      </w:r>
      <w:r>
        <w:rPr>
          <w:rFonts w:hint="eastAsia"/>
          <w:szCs w:val="28"/>
        </w:rPr>
        <w:t>年</w:t>
      </w:r>
      <w:r>
        <w:rPr>
          <w:szCs w:val="28"/>
        </w:rPr>
        <w:t>-2021</w:t>
      </w:r>
      <w:r>
        <w:rPr>
          <w:rFonts w:hint="eastAsia"/>
          <w:szCs w:val="28"/>
        </w:rPr>
        <w:t>年</w:t>
      </w:r>
    </w:p>
    <w:p>
      <w:pPr>
        <w:adjustRightInd/>
        <w:snapToGrid/>
        <w:ind w:firstLine="616"/>
        <w:rPr>
          <w:szCs w:val="28"/>
        </w:rPr>
      </w:pPr>
      <w:r>
        <w:rPr>
          <w:rFonts w:hint="eastAsia"/>
          <w:szCs w:val="28"/>
        </w:rPr>
        <w:t>拟支持项目数：</w:t>
      </w:r>
      <w:r>
        <w:rPr>
          <w:szCs w:val="28"/>
        </w:rPr>
        <w:t>1-2</w:t>
      </w:r>
      <w:r>
        <w:rPr>
          <w:rFonts w:hint="eastAsia"/>
          <w:szCs w:val="28"/>
        </w:rPr>
        <w:t>项</w:t>
      </w:r>
    </w:p>
    <w:p>
      <w:pPr>
        <w:adjustRightInd/>
        <w:snapToGrid/>
        <w:ind w:firstLine="618"/>
        <w:rPr>
          <w:b/>
          <w:szCs w:val="28"/>
        </w:rPr>
      </w:pPr>
      <w:r>
        <w:rPr>
          <w:rFonts w:hint="eastAsia"/>
          <w:b/>
          <w:szCs w:val="28"/>
        </w:rPr>
        <w:t>（9）食品生产经营良好规范智能化应用技术研究</w:t>
      </w:r>
    </w:p>
    <w:p>
      <w:pPr>
        <w:adjustRightInd/>
        <w:snapToGrid/>
        <w:ind w:firstLine="616"/>
        <w:rPr>
          <w:szCs w:val="28"/>
        </w:rPr>
      </w:pPr>
      <w:r>
        <w:rPr>
          <w:rFonts w:hint="eastAsia"/>
          <w:szCs w:val="28"/>
        </w:rPr>
        <w:t>研究内容：基于物联网技术，研究建立农药及其他化学投入品安全使用的智能化远程监控管理技术，实时监控、指导合理用药与安全期，建立农药及其他化学投入品生产、销售、使用追溯体系；开展食品生产经营过程的风险管控与预警技术研究，建立适用于食品生产、经营、餐饮企业的食品安全与质量全程监控与预警、指导的智能化管理技术（E-Quality），利用互联网+，建立全球食品原料风险预警信息通道、建立针对企业不同风险特征和管理水平的个性化食品安全风险分析预警模型、建立智能化的场景式食品安全法规标准实施指导培训系统、建立从餐桌到农田的食品安全风险智能化溯源技术；基于人群健康监测大数据，分别对婴儿配方食品、特殊医学用途食品的健康效应进行评价研究，建立评价体系与智能化评价模型，创新性地探索人群健康监测大数据在特膳食品营养质量与健康效应评价流行病学研究中的应用。</w:t>
      </w:r>
    </w:p>
    <w:p>
      <w:pPr>
        <w:adjustRightInd/>
        <w:snapToGrid/>
        <w:ind w:firstLine="616"/>
        <w:rPr>
          <w:rFonts w:hint="eastAsia"/>
          <w:szCs w:val="28"/>
        </w:rPr>
      </w:pPr>
      <w:r>
        <w:rPr>
          <w:rFonts w:hint="eastAsia"/>
          <w:szCs w:val="28"/>
        </w:rPr>
        <w:t xml:space="preserve">考核指标：研究建立基于物联网技术的农药及其他化学投入品安全使用智能化监管系统不少于2套，建立农药及其他化学投入品生产、销售、使用以及监督抽检为一体的追溯系统1套，并在5个规模化农业种植基地和5家相关监管机构得到验证应用。研究建立分别适用于生产、销售（含物流）、餐饮企业并与监管部门互联互通的智能化食品安全风险全程监控、预警系统不少于3套；研究建立从农田到餐桌的食品安全风险双向追溯系统不少于3套；利用互联网+，研究建立全球食品原料风险预警信息系统不少于1套、食品安全智能化培训系统不少于3套；前述系统和模型应在不少于2个省的20个市或县级地方监管部门和50家企业得到验证应用。研究建立特殊膳食食品营养质量与健康效应监测评价指标体系不少于2套，监测数据采集系统不少于3套、数据中心不少于2个，评价模型不少于2套，提出婴儿配方食品和特殊医学用途食品标准修改建议报告，前述系统和模型应分别在不少于2个国家级和15个基层儿童和慢病管理机构得到验证应用；形成指南和规范不少于5套，发表SCI论文不少于10篇。 </w:t>
      </w:r>
    </w:p>
    <w:p>
      <w:pPr>
        <w:adjustRightInd/>
        <w:snapToGrid/>
        <w:ind w:firstLine="616"/>
        <w:rPr>
          <w:szCs w:val="28"/>
        </w:rPr>
      </w:pPr>
      <w:r>
        <w:rPr>
          <w:rFonts w:hint="eastAsia"/>
          <w:szCs w:val="28"/>
        </w:rPr>
        <w:t>支持年限：2017年-</w:t>
      </w:r>
      <w:r>
        <w:rPr>
          <w:szCs w:val="28"/>
        </w:rPr>
        <w:t>20</w:t>
      </w:r>
      <w:r>
        <w:rPr>
          <w:rFonts w:hint="eastAsia"/>
          <w:szCs w:val="28"/>
          <w:lang w:val="en-US" w:eastAsia="zh-CN"/>
        </w:rPr>
        <w:t>21</w:t>
      </w:r>
      <w:r>
        <w:rPr>
          <w:rFonts w:hint="eastAsia"/>
          <w:szCs w:val="28"/>
        </w:rPr>
        <w:t>年</w:t>
      </w:r>
    </w:p>
    <w:p>
      <w:pPr>
        <w:adjustRightInd/>
        <w:snapToGrid/>
        <w:ind w:firstLine="616"/>
        <w:rPr>
          <w:szCs w:val="28"/>
        </w:rPr>
      </w:pPr>
      <w:r>
        <w:rPr>
          <w:rFonts w:hint="eastAsia"/>
          <w:szCs w:val="28"/>
        </w:rPr>
        <w:t>拟支持项目数：1</w:t>
      </w:r>
      <w:r>
        <w:rPr>
          <w:szCs w:val="28"/>
        </w:rPr>
        <w:t>-2</w:t>
      </w:r>
      <w:r>
        <w:rPr>
          <w:rFonts w:hint="eastAsia"/>
          <w:szCs w:val="28"/>
        </w:rPr>
        <w:t>项</w:t>
      </w:r>
    </w:p>
    <w:p>
      <w:pPr>
        <w:adjustRightInd/>
        <w:snapToGrid/>
        <w:ind w:firstLine="618"/>
        <w:rPr>
          <w:b/>
          <w:szCs w:val="28"/>
        </w:rPr>
      </w:pPr>
      <w:r>
        <w:rPr>
          <w:rFonts w:hint="eastAsia"/>
          <w:b/>
          <w:szCs w:val="28"/>
        </w:rPr>
        <w:t>（10）应对国际贸易食品法规精准检测关键技术研究</w:t>
      </w:r>
    </w:p>
    <w:p>
      <w:pPr>
        <w:adjustRightInd/>
        <w:snapToGrid/>
        <w:ind w:firstLine="616"/>
        <w:rPr>
          <w:szCs w:val="28"/>
        </w:rPr>
      </w:pPr>
      <w:r>
        <w:rPr>
          <w:rFonts w:hint="eastAsia"/>
          <w:szCs w:val="28"/>
        </w:rPr>
        <w:t>研究内容：针对我国重要国际贸易食品，开展技术法规指标比较性研究，建立关键指标动态分析库；针对境内外技术法规差异的化学性、生物性关键危害物，研究建立精准侦查技术；针对国际贸易中特色食品的高特征组分，研究建立全息鉴别技术；针对国际贸易食品法规中执行限量低至检测技术临界点的超痕量有害物，研究建立精准定量检测技术；研究建立境内外法规差异有害物的高通量测定技术，构建相应的系列方法。</w:t>
      </w:r>
    </w:p>
    <w:p>
      <w:pPr>
        <w:adjustRightInd/>
        <w:snapToGrid/>
        <w:ind w:firstLine="616"/>
        <w:rPr>
          <w:szCs w:val="28"/>
        </w:rPr>
      </w:pPr>
      <w:r>
        <w:rPr>
          <w:rFonts w:hint="eastAsia"/>
          <w:szCs w:val="28"/>
        </w:rPr>
        <w:t>考核指标：建立主要食品贸易国危害物动态分析库不少于</w:t>
      </w:r>
      <w:r>
        <w:rPr>
          <w:szCs w:val="28"/>
        </w:rPr>
        <w:t>10</w:t>
      </w:r>
      <w:r>
        <w:rPr>
          <w:rFonts w:hint="eastAsia"/>
          <w:szCs w:val="28"/>
        </w:rPr>
        <w:t>个；建立重要国际贸易食品中关键危害物、高特征组分、超痕量有害物的精准检测技术不少于</w:t>
      </w:r>
      <w:r>
        <w:rPr>
          <w:szCs w:val="28"/>
        </w:rPr>
        <w:t>30</w:t>
      </w:r>
      <w:r>
        <w:rPr>
          <w:rFonts w:hint="eastAsia"/>
          <w:szCs w:val="28"/>
        </w:rPr>
        <w:t>项，方法回收率、灵敏度等指标满足相关国际法规的技术要求；起草技术标准不少于</w:t>
      </w:r>
      <w:r>
        <w:rPr>
          <w:szCs w:val="28"/>
        </w:rPr>
        <w:t>10</w:t>
      </w:r>
      <w:r>
        <w:rPr>
          <w:rFonts w:hint="eastAsia"/>
          <w:szCs w:val="28"/>
        </w:rPr>
        <w:t>项；制定进出口技术规范不少于</w:t>
      </w:r>
      <w:r>
        <w:rPr>
          <w:szCs w:val="28"/>
        </w:rPr>
        <w:t>10</w:t>
      </w:r>
      <w:r>
        <w:rPr>
          <w:rFonts w:hint="eastAsia"/>
          <w:szCs w:val="28"/>
        </w:rPr>
        <w:t>项；建立差异有害物高通量测定技术不少于</w:t>
      </w:r>
      <w:r>
        <w:rPr>
          <w:szCs w:val="28"/>
        </w:rPr>
        <w:t>5</w:t>
      </w:r>
      <w:r>
        <w:rPr>
          <w:rFonts w:hint="eastAsia"/>
          <w:szCs w:val="28"/>
        </w:rPr>
        <w:t>套；在不少于</w:t>
      </w:r>
      <w:r>
        <w:rPr>
          <w:szCs w:val="28"/>
        </w:rPr>
        <w:t>5</w:t>
      </w:r>
      <w:r>
        <w:rPr>
          <w:rFonts w:hint="eastAsia"/>
          <w:szCs w:val="28"/>
        </w:rPr>
        <w:t>个贸易口岸验证应用，完善我国食品出入境检测技术体系，保障食品安全及我国国际贸易利益。</w:t>
      </w:r>
    </w:p>
    <w:p>
      <w:pPr>
        <w:adjustRightInd/>
        <w:snapToGrid/>
        <w:ind w:firstLine="616"/>
        <w:rPr>
          <w:szCs w:val="28"/>
        </w:rPr>
      </w:pPr>
      <w:r>
        <w:rPr>
          <w:rFonts w:hint="eastAsia"/>
          <w:szCs w:val="28"/>
        </w:rPr>
        <w:t>支持年限：2017年-20</w:t>
      </w:r>
      <w:r>
        <w:rPr>
          <w:rFonts w:hint="eastAsia"/>
          <w:szCs w:val="28"/>
          <w:lang w:val="en-US" w:eastAsia="zh-CN"/>
        </w:rPr>
        <w:t>21</w:t>
      </w:r>
      <w:r>
        <w:rPr>
          <w:rFonts w:hint="eastAsia"/>
          <w:szCs w:val="28"/>
        </w:rPr>
        <w:t>年</w:t>
      </w:r>
    </w:p>
    <w:p>
      <w:pPr>
        <w:adjustRightInd/>
        <w:snapToGrid/>
        <w:ind w:firstLine="616"/>
        <w:rPr>
          <w:szCs w:val="28"/>
        </w:rPr>
      </w:pPr>
      <w:r>
        <w:rPr>
          <w:rFonts w:hint="eastAsia"/>
          <w:szCs w:val="28"/>
        </w:rPr>
        <w:t>拟支持项目数：1-2项</w:t>
      </w:r>
    </w:p>
    <w:p>
      <w:pPr>
        <w:adjustRightInd/>
        <w:snapToGrid/>
        <w:ind w:firstLine="618"/>
        <w:rPr>
          <w:b/>
          <w:szCs w:val="28"/>
        </w:rPr>
      </w:pPr>
      <w:r>
        <w:rPr>
          <w:rFonts w:hint="eastAsia"/>
          <w:b/>
          <w:szCs w:val="28"/>
        </w:rPr>
        <w:t>（11）食品真实性鉴别检测关键技术研究</w:t>
      </w:r>
    </w:p>
    <w:p>
      <w:pPr>
        <w:adjustRightInd/>
        <w:snapToGrid/>
        <w:ind w:firstLine="616"/>
        <w:rPr>
          <w:szCs w:val="28"/>
        </w:rPr>
      </w:pPr>
      <w:r>
        <w:rPr>
          <w:rFonts w:hint="eastAsia"/>
          <w:szCs w:val="28"/>
        </w:rPr>
        <w:t>研究内容：从食品安全抽检和监测实际出发，研发经济利益驱动食品蓄意掺假（</w:t>
      </w:r>
      <w:r>
        <w:rPr>
          <w:szCs w:val="28"/>
        </w:rPr>
        <w:t>EMA</w:t>
      </w:r>
      <w:r>
        <w:rPr>
          <w:rFonts w:hint="eastAsia"/>
          <w:szCs w:val="28"/>
        </w:rPr>
        <w:t>）数据库；借鉴国际食品欺诈应对指南，研发食物链脆弱性评估关键技术，重点针对肉、奶、粮油等大宗食品，从健康危害和经济利益两个维度开展潜在影响评估和脆弱性表征的集成示范；基于同位素分馏原理和地理信息系统等现代技术，建立食品原产地、产品特性和食品欺诈相关检测技术集成，建立反食品欺诈基础信息数据库；采用分子生物学、稳定同位素等技术，建立基于内源性特征的真实性鉴别方法，构建特色高值食品真实性溯源的同位素、分子基因数据库；重点针对食品安全监督检查中发现的食品真实性、食品欺诈以及非食用物质使用等非法现象，集中对废弃食用油脂、畜禽肉、酒类、蜂蜜、阿胶、食用明胶、果汁等类别进行食品真实性和食品欺诈的整体性检测和风险预测知识库开发，发展基于食品中危害物质拓扑分布、成像和图像识别和鉴别技术，开展食品中风险组分整体性分析技术和手段研究，发展食品中风险组分的高光谱鉴别技术研究，建立以预测毒理学为线索的食品风险组分分类鉴别和确证技术，开展多靶标、多指标食品掺假筛选和定量检测技术及产品研发，同时形成食品安全监管及监测掺伪监测预警平台，并在食品安全监管中得到验证和应用。</w:t>
      </w:r>
    </w:p>
    <w:p>
      <w:pPr>
        <w:adjustRightInd/>
        <w:snapToGrid/>
        <w:ind w:firstLine="616"/>
        <w:rPr>
          <w:szCs w:val="28"/>
        </w:rPr>
      </w:pPr>
      <w:r>
        <w:rPr>
          <w:rFonts w:hint="eastAsia"/>
          <w:szCs w:val="28"/>
        </w:rPr>
        <w:t>考核指标：针对食品安全监管中发现的食品真实性、食品欺诈以及使用非食用物质等突出现象涉及的风险组分难以鉴别和确证技术难点和执法瓶颈，建立符合我国食品安全监管实际的经济利益驱动食品蓄意掺假中国数据库不少于</w:t>
      </w:r>
      <w:r>
        <w:rPr>
          <w:szCs w:val="28"/>
        </w:rPr>
        <w:t>5</w:t>
      </w:r>
      <w:r>
        <w:rPr>
          <w:rFonts w:hint="eastAsia"/>
          <w:szCs w:val="28"/>
        </w:rPr>
        <w:t>套、反食品欺诈信息数据库不少于</w:t>
      </w:r>
      <w:r>
        <w:rPr>
          <w:szCs w:val="28"/>
        </w:rPr>
        <w:t>5</w:t>
      </w:r>
      <w:r>
        <w:rPr>
          <w:rFonts w:hint="eastAsia"/>
          <w:szCs w:val="28"/>
        </w:rPr>
        <w:t>套等；建立符合中国实际的脆弱性评估技术和反食品欺诈配套检测技术各不少于</w:t>
      </w:r>
      <w:r>
        <w:rPr>
          <w:szCs w:val="28"/>
        </w:rPr>
        <w:t>1</w:t>
      </w:r>
      <w:r>
        <w:rPr>
          <w:rFonts w:hint="eastAsia"/>
          <w:szCs w:val="28"/>
        </w:rPr>
        <w:t>套，开发相关产品不少于</w:t>
      </w:r>
      <w:r>
        <w:rPr>
          <w:szCs w:val="28"/>
        </w:rPr>
        <w:t>10</w:t>
      </w:r>
      <w:r>
        <w:rPr>
          <w:rFonts w:hint="eastAsia"/>
          <w:szCs w:val="28"/>
        </w:rPr>
        <w:t>个；开发食品真实性及食品欺诈相关的指标对照实物体系不少于</w:t>
      </w:r>
      <w:r>
        <w:rPr>
          <w:szCs w:val="28"/>
        </w:rPr>
        <w:t>10</w:t>
      </w:r>
      <w:r>
        <w:rPr>
          <w:rFonts w:hint="eastAsia"/>
          <w:szCs w:val="28"/>
        </w:rPr>
        <w:t>类，综合指标数据库不少于</w:t>
      </w:r>
      <w:r>
        <w:rPr>
          <w:szCs w:val="28"/>
        </w:rPr>
        <w:t>15</w:t>
      </w:r>
      <w:r>
        <w:rPr>
          <w:rFonts w:hint="eastAsia"/>
          <w:szCs w:val="28"/>
        </w:rPr>
        <w:t>种，建立组分识别定量在线前处理技术不少于</w:t>
      </w:r>
      <w:r>
        <w:rPr>
          <w:szCs w:val="28"/>
        </w:rPr>
        <w:t>30</w:t>
      </w:r>
      <w:r>
        <w:rPr>
          <w:rFonts w:hint="eastAsia"/>
          <w:szCs w:val="28"/>
        </w:rPr>
        <w:t>种，食品中危害物质拓扑分布、成像和图像识别和鉴别技术不少于</w:t>
      </w:r>
      <w:r>
        <w:rPr>
          <w:szCs w:val="28"/>
        </w:rPr>
        <w:t>20</w:t>
      </w:r>
      <w:r>
        <w:rPr>
          <w:rFonts w:hint="eastAsia"/>
          <w:szCs w:val="28"/>
        </w:rPr>
        <w:t>种，基于二维拉曼等高光谱及快速质谱技术不少于</w:t>
      </w:r>
      <w:r>
        <w:rPr>
          <w:szCs w:val="28"/>
        </w:rPr>
        <w:t>10</w:t>
      </w:r>
      <w:r>
        <w:rPr>
          <w:rFonts w:hint="eastAsia"/>
          <w:szCs w:val="28"/>
        </w:rPr>
        <w:t>种，基于预测毒理学通路的组分鉴别和确证技术不少于</w:t>
      </w:r>
      <w:r>
        <w:rPr>
          <w:szCs w:val="28"/>
        </w:rPr>
        <w:t>10</w:t>
      </w:r>
      <w:r>
        <w:rPr>
          <w:rFonts w:hint="eastAsia"/>
          <w:szCs w:val="28"/>
        </w:rPr>
        <w:t>种，多靶标多指标快速检测技术及产品不少于</w:t>
      </w:r>
      <w:r>
        <w:rPr>
          <w:szCs w:val="28"/>
        </w:rPr>
        <w:t>10</w:t>
      </w:r>
      <w:r>
        <w:rPr>
          <w:rFonts w:hint="eastAsia"/>
          <w:szCs w:val="28"/>
        </w:rPr>
        <w:t>种，以上技术、指标体系及实物对照在不少于</w:t>
      </w:r>
      <w:r>
        <w:rPr>
          <w:szCs w:val="28"/>
        </w:rPr>
        <w:t>15</w:t>
      </w:r>
      <w:r>
        <w:rPr>
          <w:rFonts w:hint="eastAsia"/>
          <w:szCs w:val="28"/>
        </w:rPr>
        <w:t>个食品安全抽检监测承检机构中得到日常使用；构建符合食品安全监管和监测实际的食品真实性、食品欺诈及非食用物质使用等相关信息库和掺伪监测预警平台不少于</w:t>
      </w:r>
      <w:r>
        <w:rPr>
          <w:szCs w:val="28"/>
        </w:rPr>
        <w:t>1</w:t>
      </w:r>
      <w:r>
        <w:rPr>
          <w:rFonts w:hint="eastAsia"/>
          <w:szCs w:val="28"/>
        </w:rPr>
        <w:t>个，在不少于</w:t>
      </w:r>
      <w:r>
        <w:rPr>
          <w:szCs w:val="28"/>
        </w:rPr>
        <w:t>10</w:t>
      </w:r>
      <w:r>
        <w:rPr>
          <w:rFonts w:hint="eastAsia"/>
          <w:szCs w:val="28"/>
        </w:rPr>
        <w:t>家食品安全监管或监测检测机构得到应用；在食品安全日常监管中发现新的掺伪现象不少于</w:t>
      </w:r>
      <w:r>
        <w:rPr>
          <w:szCs w:val="28"/>
        </w:rPr>
        <w:t>10</w:t>
      </w:r>
      <w:r>
        <w:rPr>
          <w:rFonts w:hint="eastAsia"/>
          <w:szCs w:val="28"/>
        </w:rPr>
        <w:t>种，建立鉴别指标不少于</w:t>
      </w:r>
      <w:r>
        <w:rPr>
          <w:szCs w:val="28"/>
        </w:rPr>
        <w:t>10</w:t>
      </w:r>
      <w:r>
        <w:rPr>
          <w:rFonts w:hint="eastAsia"/>
          <w:szCs w:val="28"/>
        </w:rPr>
        <w:t>套，在日常抽检监测中得到应用；构建大宗食品真实性溯源与典型产区同位素分布数据库</w:t>
      </w:r>
      <w:r>
        <w:rPr>
          <w:szCs w:val="28"/>
        </w:rPr>
        <w:t xml:space="preserve">3 </w:t>
      </w:r>
      <w:r>
        <w:rPr>
          <w:rFonts w:hint="eastAsia"/>
          <w:szCs w:val="28"/>
        </w:rPr>
        <w:t>套，从欧盟引进技术不少于 15 套，输出技术不少于 10 套；申请专利不少于</w:t>
      </w:r>
      <w:r>
        <w:rPr>
          <w:szCs w:val="28"/>
        </w:rPr>
        <w:t>10</w:t>
      </w:r>
      <w:r>
        <w:rPr>
          <w:rFonts w:hint="eastAsia"/>
          <w:szCs w:val="28"/>
        </w:rPr>
        <w:t>项，获得软件著作权不少于</w:t>
      </w:r>
      <w:r>
        <w:rPr>
          <w:szCs w:val="28"/>
        </w:rPr>
        <w:t>5</w:t>
      </w:r>
      <w:r>
        <w:rPr>
          <w:rFonts w:hint="eastAsia"/>
          <w:szCs w:val="28"/>
        </w:rPr>
        <w:t>项，发表科研论文不少于</w:t>
      </w:r>
      <w:r>
        <w:rPr>
          <w:szCs w:val="28"/>
        </w:rPr>
        <w:t>50</w:t>
      </w:r>
      <w:r>
        <w:rPr>
          <w:rFonts w:hint="eastAsia"/>
          <w:szCs w:val="28"/>
        </w:rPr>
        <w:t>篇。</w:t>
      </w:r>
    </w:p>
    <w:p>
      <w:pPr>
        <w:adjustRightInd/>
        <w:snapToGrid/>
        <w:ind w:firstLine="616"/>
        <w:rPr>
          <w:szCs w:val="28"/>
        </w:rPr>
      </w:pPr>
      <w:r>
        <w:rPr>
          <w:rFonts w:hint="eastAsia"/>
          <w:szCs w:val="28"/>
        </w:rPr>
        <w:t>支持年限：</w:t>
      </w:r>
      <w:r>
        <w:rPr>
          <w:szCs w:val="28"/>
        </w:rPr>
        <w:t xml:space="preserve">2017 </w:t>
      </w:r>
      <w:r>
        <w:rPr>
          <w:rFonts w:hint="eastAsia"/>
          <w:szCs w:val="28"/>
        </w:rPr>
        <w:t>年</w:t>
      </w:r>
      <w:r>
        <w:rPr>
          <w:szCs w:val="28"/>
        </w:rPr>
        <w:t xml:space="preserve">-2020 </w:t>
      </w:r>
      <w:r>
        <w:rPr>
          <w:rFonts w:hint="eastAsia"/>
          <w:szCs w:val="28"/>
        </w:rPr>
        <w:t>年</w:t>
      </w:r>
    </w:p>
    <w:p>
      <w:pPr>
        <w:tabs>
          <w:tab w:val="center" w:pos="4617"/>
        </w:tabs>
        <w:adjustRightInd/>
        <w:snapToGrid/>
        <w:ind w:firstLine="616"/>
        <w:rPr>
          <w:szCs w:val="28"/>
        </w:rPr>
      </w:pPr>
      <w:r>
        <w:rPr>
          <w:rFonts w:hint="eastAsia"/>
          <w:szCs w:val="28"/>
        </w:rPr>
        <w:t>拟支持项目数：</w:t>
      </w:r>
      <w:r>
        <w:rPr>
          <w:szCs w:val="28"/>
        </w:rPr>
        <w:t>1-2</w:t>
      </w:r>
      <w:r>
        <w:rPr>
          <w:rFonts w:hint="eastAsia"/>
          <w:szCs w:val="28"/>
        </w:rPr>
        <w:t>项</w:t>
      </w:r>
      <w:r>
        <w:rPr>
          <w:szCs w:val="28"/>
        </w:rPr>
        <w:tab/>
      </w:r>
    </w:p>
    <w:p>
      <w:pPr>
        <w:adjustRightInd/>
        <w:snapToGrid/>
        <w:ind w:firstLine="616"/>
        <w:rPr>
          <w:szCs w:val="28"/>
        </w:rPr>
      </w:pPr>
      <w:r>
        <w:rPr>
          <w:szCs w:val="28"/>
        </w:rPr>
        <w:br w:type="page"/>
      </w:r>
    </w:p>
    <w:p>
      <w:pPr>
        <w:adjustRightInd/>
        <w:snapToGrid/>
        <w:ind w:firstLine="616"/>
        <w:rPr>
          <w:szCs w:val="28"/>
        </w:rPr>
      </w:pPr>
      <w:r>
        <w:rPr>
          <w:rFonts w:hint="eastAsia"/>
          <w:szCs w:val="28"/>
        </w:rPr>
        <w:t>2017年，“食品安全关键技术研发”重点专项</w:t>
      </w:r>
      <w:r>
        <w:rPr>
          <w:rFonts w:hint="eastAsia"/>
          <w:szCs w:val="28"/>
          <w:lang w:eastAsia="zh-CN"/>
        </w:rPr>
        <w:t>计划在</w:t>
      </w:r>
      <w:r>
        <w:rPr>
          <w:rFonts w:hint="eastAsia"/>
          <w:szCs w:val="28"/>
        </w:rPr>
        <w:t>食品安全关键共性技术和产品研发、食品安全关键技术转化集成和综合示范</w:t>
      </w:r>
      <w:r>
        <w:rPr>
          <w:rFonts w:hint="eastAsia"/>
          <w:szCs w:val="28"/>
          <w:lang w:eastAsia="zh-CN"/>
        </w:rPr>
        <w:t>二个任务</w:t>
      </w:r>
      <w:r>
        <w:rPr>
          <w:rFonts w:hint="eastAsia"/>
          <w:szCs w:val="28"/>
        </w:rPr>
        <w:t>部署</w:t>
      </w:r>
      <w:r>
        <w:rPr>
          <w:rFonts w:hint="eastAsia"/>
          <w:szCs w:val="28"/>
          <w:lang w:val="en-US" w:eastAsia="zh-CN"/>
        </w:rPr>
        <w:t>2</w:t>
      </w:r>
      <w:r>
        <w:rPr>
          <w:rFonts w:hint="eastAsia"/>
          <w:szCs w:val="28"/>
        </w:rPr>
        <w:t>个</w:t>
      </w:r>
      <w:r>
        <w:rPr>
          <w:rFonts w:hint="eastAsia"/>
          <w:szCs w:val="28"/>
          <w:lang w:eastAsia="zh-CN"/>
        </w:rPr>
        <w:t>研究方向的</w:t>
      </w:r>
      <w:r>
        <w:rPr>
          <w:rFonts w:hint="eastAsia" w:ascii="仿宋_GB2312" w:hAnsi="仿宋_GB2312"/>
          <w:bCs/>
          <w:kern w:val="44"/>
        </w:rPr>
        <w:t>定向择</w:t>
      </w:r>
      <w:bookmarkStart w:id="2" w:name="_GoBack"/>
      <w:bookmarkEnd w:id="2"/>
      <w:r>
        <w:rPr>
          <w:rFonts w:hint="eastAsia" w:ascii="仿宋_GB2312" w:hAnsi="仿宋_GB2312"/>
          <w:bCs/>
          <w:kern w:val="44"/>
        </w:rPr>
        <w:t>优项目</w:t>
      </w:r>
      <w:r>
        <w:rPr>
          <w:rFonts w:hint="eastAsia"/>
          <w:szCs w:val="28"/>
        </w:rPr>
        <w:t>。</w:t>
      </w:r>
    </w:p>
    <w:p>
      <w:pPr>
        <w:adjustRightInd/>
        <w:snapToGrid/>
        <w:ind w:firstLine="773" w:firstLineChars="250"/>
        <w:rPr>
          <w:b/>
          <w:szCs w:val="28"/>
        </w:rPr>
      </w:pPr>
      <w:r>
        <w:rPr>
          <w:rFonts w:hint="eastAsia"/>
          <w:b/>
          <w:szCs w:val="28"/>
        </w:rPr>
        <w:t>任务二</w:t>
      </w:r>
      <w:r>
        <w:rPr>
          <w:b/>
          <w:szCs w:val="28"/>
        </w:rPr>
        <w:t xml:space="preserve">. </w:t>
      </w:r>
      <w:r>
        <w:rPr>
          <w:rFonts w:hint="eastAsia"/>
          <w:b/>
          <w:szCs w:val="28"/>
        </w:rPr>
        <w:t>食品安全关键技术和产品研发</w:t>
      </w:r>
    </w:p>
    <w:p>
      <w:pPr>
        <w:adjustRightInd/>
        <w:snapToGrid/>
        <w:ind w:firstLine="773" w:firstLineChars="250"/>
        <w:rPr>
          <w:b/>
          <w:szCs w:val="28"/>
        </w:rPr>
      </w:pPr>
      <w:r>
        <w:rPr>
          <w:rFonts w:hint="eastAsia"/>
          <w:b/>
          <w:szCs w:val="28"/>
        </w:rPr>
        <w:t>（1）食品安全风险分级评价与智能化监督关键技术研究</w:t>
      </w:r>
    </w:p>
    <w:p>
      <w:pPr>
        <w:adjustRightInd/>
        <w:snapToGrid/>
        <w:ind w:firstLine="616"/>
        <w:rPr>
          <w:szCs w:val="28"/>
        </w:rPr>
      </w:pPr>
      <w:bookmarkStart w:id="0" w:name="OLE_LINK2"/>
      <w:bookmarkStart w:id="1" w:name="OLE_LINK3"/>
      <w:r>
        <w:rPr>
          <w:rFonts w:hint="eastAsia"/>
          <w:szCs w:val="28"/>
        </w:rPr>
        <w:t>研究内容：研究食品安全风险分级评价原则与方法，研究基于风险分级评价结果并融合食品安全相关数据的食品安全风险预警技术；基于风险分级评价结果和优先管理决策原则，研究建立适用于国家以及地方各级监管部门的食品安全监管指挥系统和适用于生产经营许可现场审查和经常性现场监管的智能化监督执法移动终端，研发食品安全现场监督执法快速搜查取证设备工具；针对互联网食品销售模式，建立互联网食品销售违法违规行为的智能化监测报警技术；利用物联网、纳米温控标签等监控技术研发网络食品变质信号模型与监测预警技术。</w:t>
      </w:r>
    </w:p>
    <w:p>
      <w:pPr>
        <w:adjustRightInd/>
        <w:snapToGrid/>
        <w:ind w:firstLine="616"/>
      </w:pPr>
      <w:r>
        <w:rPr>
          <w:rFonts w:hint="eastAsia"/>
          <w:szCs w:val="28"/>
        </w:rPr>
        <w:t>考核指标：</w:t>
      </w:r>
      <w:r>
        <w:rPr>
          <w:rFonts w:hint="eastAsia"/>
        </w:rPr>
        <w:t>建立食品安全综合多因素的多维关联性分析指标体系不少于1套，建立风险分级评价、食品安全隐患预测预警相关模型和系统不少于4套，对不少于40类（种）食品、食品相关产品和常用食品添加剂进行评价预警；研发食品安全监管指挥调度平台不少于4个、智能化现场监督执法移动终端不少于3套，研发食品安全现场监督执法快速搜查取证设备工具不少于5套，并在不少于4个省，每个省不少于8个市和15个县进行验证性应用；利用物联网、纳米温控标签等监控技术研发食品变质信号模型不少于5种；建立互联网违法违规食品销售行为监测报警系统不少于1套；形成监管技术规范不少于4套，发表高水平论文不少于8篇。食品安全风险分级评价与智能化监督关键技术研究成果应在全国不少于5个省，每个省不少于3个市，每个市不少于3个县的基层食品安全监管机构进行验证性应用。</w:t>
      </w:r>
    </w:p>
    <w:p>
      <w:pPr>
        <w:tabs>
          <w:tab w:val="left" w:pos="616"/>
          <w:tab w:val="center" w:pos="4309"/>
        </w:tabs>
        <w:adjustRightInd/>
        <w:snapToGrid/>
        <w:ind w:firstLine="616"/>
        <w:rPr>
          <w:szCs w:val="28"/>
        </w:rPr>
      </w:pPr>
      <w:r>
        <w:rPr>
          <w:rFonts w:hint="eastAsia"/>
        </w:rPr>
        <w:t>支持年限：2017年-</w:t>
      </w:r>
      <w:r>
        <w:t>2019</w:t>
      </w:r>
      <w:r>
        <w:rPr>
          <w:rFonts w:hint="eastAsia"/>
          <w:szCs w:val="28"/>
        </w:rPr>
        <w:t>年</w:t>
      </w:r>
    </w:p>
    <w:p>
      <w:pPr>
        <w:tabs>
          <w:tab w:val="left" w:pos="616"/>
          <w:tab w:val="center" w:pos="4309"/>
        </w:tabs>
        <w:adjustRightInd/>
        <w:snapToGrid/>
        <w:ind w:firstLine="616"/>
        <w:rPr>
          <w:szCs w:val="28"/>
        </w:rPr>
      </w:pPr>
      <w:r>
        <w:rPr>
          <w:rFonts w:hint="eastAsia"/>
          <w:szCs w:val="28"/>
        </w:rPr>
        <w:t>拟支持项目数：1项</w:t>
      </w:r>
    </w:p>
    <w:p>
      <w:pPr>
        <w:tabs>
          <w:tab w:val="left" w:pos="616"/>
          <w:tab w:val="center" w:pos="4309"/>
        </w:tabs>
        <w:adjustRightInd/>
        <w:snapToGrid/>
        <w:ind w:firstLine="616"/>
        <w:rPr>
          <w:szCs w:val="28"/>
        </w:rPr>
      </w:pPr>
      <w:r>
        <w:rPr>
          <w:rFonts w:hint="eastAsia"/>
          <w:szCs w:val="28"/>
        </w:rPr>
        <w:t>有关说明：</w:t>
      </w:r>
      <w:r>
        <w:rPr>
          <w:rFonts w:hint="eastAsia"/>
          <w:szCs w:val="28"/>
          <w:lang w:eastAsia="zh-CN"/>
        </w:rPr>
        <w:t>项目中申报单位由</w:t>
      </w:r>
      <w:r>
        <w:rPr>
          <w:rFonts w:hint="eastAsia"/>
          <w:szCs w:val="28"/>
        </w:rPr>
        <w:t>国家级食品药品相关监管部门推荐</w:t>
      </w:r>
      <w:r>
        <w:rPr>
          <w:rFonts w:hint="eastAsia"/>
          <w:szCs w:val="28"/>
          <w:lang w:eastAsia="zh-CN"/>
        </w:rPr>
        <w:t>。</w:t>
      </w:r>
    </w:p>
    <w:p>
      <w:pPr>
        <w:tabs>
          <w:tab w:val="left" w:pos="616"/>
          <w:tab w:val="center" w:pos="4309"/>
        </w:tabs>
        <w:adjustRightInd/>
        <w:snapToGrid/>
        <w:ind w:firstLine="618"/>
        <w:rPr>
          <w:b/>
        </w:rPr>
      </w:pPr>
      <w:r>
        <w:rPr>
          <w:rFonts w:hint="eastAsia"/>
          <w:b/>
          <w:szCs w:val="28"/>
        </w:rPr>
        <w:t>任务三. 食品安全关键技术转化集成和综合示范</w:t>
      </w:r>
    </w:p>
    <w:p>
      <w:pPr>
        <w:tabs>
          <w:tab w:val="left" w:pos="616"/>
          <w:tab w:val="center" w:pos="4309"/>
        </w:tabs>
        <w:adjustRightInd/>
        <w:snapToGrid/>
        <w:ind w:firstLine="618"/>
        <w:rPr>
          <w:b/>
        </w:rPr>
      </w:pPr>
      <w:r>
        <w:rPr>
          <w:rFonts w:hint="eastAsia"/>
          <w:b/>
        </w:rPr>
        <w:t>（1）食品安全社会共治信息技术应用示范</w:t>
      </w:r>
    </w:p>
    <w:p>
      <w:pPr>
        <w:tabs>
          <w:tab w:val="left" w:pos="616"/>
          <w:tab w:val="center" w:pos="4309"/>
        </w:tabs>
        <w:adjustRightInd/>
        <w:snapToGrid/>
        <w:ind w:firstLine="616"/>
      </w:pPr>
      <w:r>
        <w:rPr>
          <w:rFonts w:hint="eastAsia"/>
        </w:rPr>
        <w:t>研究内容：针对目前我国食品安全信息碎片化、孤岛化导致的监管效能不高、风险控制能力不强及公众信任危机的现状，通过集成创新，研究构建政府、食品生产经营主体、行业协会、检测监测机构互联互通的全链条的食品安全与食源性疾病监控信息技术体系；建立跨部门、跨层级、社会各方广泛参与的食品安全检验监测、舆情监控、预警分析与风险控制信息共享平台，形成标准和规范，通过国家食品安全创新工程进行推广示范和应用，提高食品安全社会治理能力。</w:t>
      </w:r>
    </w:p>
    <w:p>
      <w:pPr>
        <w:tabs>
          <w:tab w:val="left" w:pos="616"/>
          <w:tab w:val="center" w:pos="4309"/>
        </w:tabs>
        <w:adjustRightInd/>
        <w:snapToGrid/>
        <w:ind w:firstLine="616"/>
      </w:pPr>
      <w:r>
        <w:rPr>
          <w:rFonts w:hint="eastAsia"/>
        </w:rPr>
        <w:t>考核指标：研究建立粮油、乳及乳制品、肉及肉制品、白酒等不少于4种重点食品的全程风险防控、追溯及联动防控平台风险分析、监测预警等算法模型不少于10个；研究建立食品复杂网络舆情监测分析处置平台1个；建成食品安全政府监管、企业自律、检验检测机构技术支撑、消费者共同参与的食品安全大数据信息共享应用服务技术体系，并在不少于2个省，6个地区进行应用示范，服务人群3000万以上；制修订相关行业技术标准（送审稿）不少于5项，申请发明专利不少于3项，获得软件著作权不少于11项。</w:t>
      </w:r>
    </w:p>
    <w:p>
      <w:pPr>
        <w:tabs>
          <w:tab w:val="left" w:pos="616"/>
          <w:tab w:val="center" w:pos="4309"/>
        </w:tabs>
        <w:adjustRightInd/>
        <w:snapToGrid/>
        <w:ind w:firstLine="616"/>
      </w:pPr>
      <w:r>
        <w:rPr>
          <w:rFonts w:hint="eastAsia"/>
        </w:rPr>
        <w:t>支持年限：</w:t>
      </w:r>
      <w:r>
        <w:t>2017</w:t>
      </w:r>
      <w:r>
        <w:rPr>
          <w:rFonts w:hint="eastAsia"/>
        </w:rPr>
        <w:t>年</w:t>
      </w:r>
      <w:r>
        <w:t>-2021</w:t>
      </w:r>
      <w:r>
        <w:rPr>
          <w:rFonts w:hint="eastAsia"/>
        </w:rPr>
        <w:t>年</w:t>
      </w:r>
    </w:p>
    <w:p>
      <w:pPr>
        <w:tabs>
          <w:tab w:val="left" w:pos="616"/>
          <w:tab w:val="center" w:pos="4309"/>
        </w:tabs>
        <w:adjustRightInd/>
        <w:snapToGrid/>
        <w:ind w:firstLine="616"/>
      </w:pPr>
      <w:r>
        <w:rPr>
          <w:rFonts w:hint="eastAsia"/>
        </w:rPr>
        <w:t>拟支持项目数：不超过3项</w:t>
      </w:r>
    </w:p>
    <w:p>
      <w:pPr>
        <w:adjustRightInd/>
        <w:snapToGrid/>
        <w:ind w:firstLine="616"/>
        <w:rPr>
          <w:szCs w:val="28"/>
        </w:rPr>
      </w:pPr>
      <w:r>
        <w:rPr>
          <w:rFonts w:hint="eastAsia"/>
          <w:szCs w:val="28"/>
        </w:rPr>
        <w:t>有关说明：各省级或副省级科技厅可推荐1个项目，地方财政投入和中央财政经费投入比例不低于1:1，鼓励其他资金渠道投入</w:t>
      </w:r>
    </w:p>
    <w:bookmarkEnd w:id="0"/>
    <w:bookmarkEnd w:id="1"/>
    <w:p>
      <w:pPr>
        <w:adjustRightInd/>
        <w:snapToGrid/>
        <w:ind w:firstLine="769" w:firstLineChars="250"/>
        <w:rPr>
          <w:rFonts w:eastAsia="长城小标宋体"/>
          <w:b/>
          <w:bCs/>
          <w:sz w:val="36"/>
        </w:rPr>
      </w:pPr>
      <w:r>
        <w:rPr>
          <w:rFonts w:eastAsia="长城小标宋体"/>
          <w:b/>
          <w:bCs/>
          <w:sz w:val="36"/>
        </w:rPr>
        <w:br w:type="page"/>
      </w:r>
    </w:p>
    <w:p>
      <w:pPr>
        <w:spacing w:line="300" w:lineRule="auto"/>
        <w:ind w:firstLine="0" w:firstLineChars="0"/>
        <w:jc w:val="center"/>
        <w:rPr>
          <w:rFonts w:eastAsia="长城小标宋体"/>
          <w:b/>
          <w:bCs/>
          <w:sz w:val="36"/>
        </w:rPr>
      </w:pPr>
      <w:r>
        <w:rPr>
          <w:rFonts w:hint="eastAsia" w:eastAsia="长城小标宋体"/>
          <w:b/>
          <w:bCs/>
          <w:sz w:val="36"/>
        </w:rPr>
        <w:t>申报要求</w:t>
      </w:r>
    </w:p>
    <w:p>
      <w:pPr>
        <w:spacing w:line="300" w:lineRule="auto"/>
        <w:ind w:firstLine="0" w:firstLineChars="0"/>
        <w:jc w:val="center"/>
        <w:rPr>
          <w:rFonts w:eastAsia="长城小标宋体"/>
          <w:b/>
          <w:bCs/>
          <w:sz w:val="36"/>
        </w:rPr>
      </w:pPr>
    </w:p>
    <w:p>
      <w:pPr>
        <w:ind w:firstLine="616"/>
      </w:pPr>
      <w:r>
        <w:t xml:space="preserve">1. </w:t>
      </w:r>
      <w:r>
        <w:rPr>
          <w:rFonts w:hint="eastAsia"/>
          <w:szCs w:val="30"/>
        </w:rPr>
        <w:t>项目须整体申报，须覆盖全部考核指标</w:t>
      </w:r>
      <w:r>
        <w:rPr>
          <w:rFonts w:hint="eastAsia"/>
        </w:rPr>
        <w:t>。</w:t>
      </w:r>
    </w:p>
    <w:p>
      <w:pPr>
        <w:ind w:firstLine="616"/>
        <w:rPr>
          <w:szCs w:val="28"/>
        </w:rPr>
      </w:pPr>
      <w:r>
        <w:t xml:space="preserve">2. </w:t>
      </w:r>
      <w:r>
        <w:rPr>
          <w:rFonts w:hint="eastAsia"/>
          <w:szCs w:val="28"/>
        </w:rPr>
        <w:t>项目执行期为</w:t>
      </w:r>
      <w:r>
        <w:rPr>
          <w:szCs w:val="28"/>
        </w:rPr>
        <w:t>3-5</w:t>
      </w:r>
      <w:r>
        <w:rPr>
          <w:rFonts w:hint="eastAsia"/>
          <w:szCs w:val="28"/>
        </w:rPr>
        <w:t>年，如无特殊说明，每个项目下设的任务（课题）数不超过</w:t>
      </w:r>
      <w:r>
        <w:rPr>
          <w:szCs w:val="28"/>
        </w:rPr>
        <w:t>6</w:t>
      </w:r>
      <w:r>
        <w:rPr>
          <w:rFonts w:hint="eastAsia"/>
          <w:szCs w:val="28"/>
        </w:rPr>
        <w:t>个，每个项目所含单位数不超过</w:t>
      </w:r>
      <w:r>
        <w:rPr>
          <w:szCs w:val="30"/>
        </w:rPr>
        <w:t>12</w:t>
      </w:r>
      <w:r>
        <w:rPr>
          <w:rFonts w:hint="eastAsia"/>
          <w:szCs w:val="30"/>
        </w:rPr>
        <w:t>个。</w:t>
      </w:r>
    </w:p>
    <w:p>
      <w:pPr>
        <w:ind w:firstLine="616"/>
      </w:pPr>
      <w:r>
        <w:t xml:space="preserve">3. </w:t>
      </w:r>
      <w:r>
        <w:rPr>
          <w:rFonts w:hint="eastAsia"/>
        </w:rPr>
        <w:t>同一申报材料不得多头重复推荐，同一推荐主体对同一项目只能推荐</w:t>
      </w:r>
      <w:r>
        <w:t>1</w:t>
      </w:r>
      <w:r>
        <w:rPr>
          <w:rFonts w:hint="eastAsia"/>
        </w:rPr>
        <w:t>项。</w:t>
      </w:r>
    </w:p>
    <w:p>
      <w:pPr>
        <w:ind w:firstLine="616"/>
      </w:pPr>
      <w:r>
        <w:t xml:space="preserve">4. </w:t>
      </w:r>
      <w:r>
        <w:rPr>
          <w:rFonts w:hint="eastAsia"/>
        </w:rPr>
        <w:t>项目申报单位（包括联合申报中的任意一方）和项目参加人员，对同一项目不得进行重复或交叉申报与参与。</w:t>
      </w:r>
    </w:p>
    <w:p>
      <w:pPr>
        <w:ind w:firstLine="616"/>
      </w:pPr>
      <w:r>
        <w:t xml:space="preserve">5. </w:t>
      </w:r>
      <w:r>
        <w:rPr>
          <w:rFonts w:hint="eastAsia"/>
        </w:rPr>
        <w:t>对于拟支持项目数为</w:t>
      </w:r>
      <w:r>
        <w:t xml:space="preserve">1-2 </w:t>
      </w:r>
      <w:r>
        <w:rPr>
          <w:rFonts w:hint="eastAsia"/>
        </w:rPr>
        <w:t>个的指南方向，原则上该方向只立</w:t>
      </w:r>
      <w:r>
        <w:t xml:space="preserve">1 </w:t>
      </w:r>
      <w:r>
        <w:rPr>
          <w:rFonts w:hint="eastAsia"/>
        </w:rPr>
        <w:t>个项目，仅在申报项目评审结果相近、技术路线明显不同的情况下，可同时支持</w:t>
      </w:r>
      <w:r>
        <w:t xml:space="preserve">2 </w:t>
      </w:r>
      <w:r>
        <w:rPr>
          <w:rFonts w:hint="eastAsia"/>
        </w:rPr>
        <w:t>个项目，并建立动态调整机制，根据中期评估结果再择优继续支持。</w:t>
      </w:r>
    </w:p>
    <w:p>
      <w:pPr>
        <w:ind w:firstLine="616"/>
      </w:pPr>
      <w:r>
        <w:t xml:space="preserve">6. </w:t>
      </w:r>
      <w:r>
        <w:rPr>
          <w:rFonts w:hint="eastAsia"/>
        </w:rPr>
        <w:t>本专项要求申报单位和个人必须签署具有法律约束力的协议，承诺各领域项目产生的所有科学数据无条件、按期递交到科技部指定的平台，在本专项约定的条件下对本专项各个承担单位，乃至今后面向所有的科技工作者和公众开放共享。申报本专项则视为同意本条款。如不在商定的期限内履行数据递交，则由专项责令整改，拒绝整改者，则由专项追回项目资金，并予以通报。</w:t>
      </w:r>
    </w:p>
    <w:p>
      <w:pPr>
        <w:ind w:firstLine="616"/>
      </w:pPr>
      <w:r>
        <w:t>7.</w:t>
      </w:r>
      <w:r>
        <w:rPr>
          <w:rFonts w:hint="eastAsia"/>
        </w:rPr>
        <w:t>本专项所涉食品安全关键技术转化集成和综合示范类项目的实施和管理须严格遵守国家食品安全创新工程相关规定。</w:t>
      </w:r>
    </w:p>
    <w:p>
      <w:pPr>
        <w:ind w:firstLine="616"/>
      </w:pPr>
      <w:r>
        <w:rPr>
          <w:rFonts w:hint="eastAsia"/>
        </w:rPr>
        <w:t>8.鼓励加强国际合作，积极引进国际前沿理论和技术。</w:t>
      </w:r>
    </w:p>
    <w:p>
      <w:pPr>
        <w:ind w:firstLine="176"/>
        <w:rPr>
          <w:sz w:val="10"/>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1985" w:left="1701" w:header="851" w:footer="1587" w:gutter="0"/>
      <w:pgBorders>
        <w:top w:val="none" w:sz="0" w:space="0"/>
        <w:left w:val="none" w:sz="0" w:space="0"/>
        <w:bottom w:val="none" w:sz="0" w:space="0"/>
        <w:right w:val="none" w:sz="0" w:space="0"/>
      </w:pgBorders>
      <w:cols w:space="720" w:num="1"/>
      <w:docGrid w:type="linesAndChars" w:linePitch="435" w:charSpace="-25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inherit">
    <w:altName w:val="Times New Roman"/>
    <w:panose1 w:val="00000000000000000000"/>
    <w:charset w:val="00"/>
    <w:family w:val="roman"/>
    <w:pitch w:val="default"/>
    <w:sig w:usb0="00000000" w:usb1="00000000" w:usb2="00000000" w:usb3="00000000" w:csb0="00000001" w:csb1="00000000"/>
  </w:font>
  <w:font w:name="长城小标宋体">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spacing w:line="240" w:lineRule="auto"/>
      <w:ind w:right="320" w:rightChars="100" w:firstLine="0" w:firstLineChars="0"/>
      <w:rPr>
        <w:rStyle w:val="17"/>
        <w:rFonts w:ascii="楷体_GB2312" w:eastAsia="楷体_GB2312"/>
        <w:sz w:val="28"/>
      </w:rPr>
    </w:pPr>
    <w:r>
      <w:rPr>
        <w:rStyle w:val="17"/>
        <w:rFonts w:ascii="仿宋_GB2312" w:hAnsi="仿宋_GB2312"/>
        <w:sz w:val="28"/>
      </w:rPr>
      <w:t xml:space="preserve">  — </w:t>
    </w:r>
    <w:r>
      <w:rPr>
        <w:rStyle w:val="17"/>
        <w:rFonts w:eastAsia="楷体_GB2312"/>
        <w:sz w:val="28"/>
      </w:rPr>
      <w:fldChar w:fldCharType="begin"/>
    </w:r>
    <w:r>
      <w:rPr>
        <w:rStyle w:val="17"/>
        <w:rFonts w:eastAsia="楷体_GB2312"/>
        <w:sz w:val="28"/>
      </w:rPr>
      <w:instrText xml:space="preserve">PAGE  </w:instrText>
    </w:r>
    <w:r>
      <w:rPr>
        <w:rStyle w:val="17"/>
        <w:rFonts w:eastAsia="楷体_GB2312"/>
        <w:sz w:val="28"/>
      </w:rPr>
      <w:fldChar w:fldCharType="separate"/>
    </w:r>
    <w:r>
      <w:rPr>
        <w:rStyle w:val="17"/>
        <w:rFonts w:eastAsia="楷体_GB2312"/>
        <w:sz w:val="28"/>
      </w:rPr>
      <w:t>1</w:t>
    </w:r>
    <w:r>
      <w:rPr>
        <w:rStyle w:val="17"/>
        <w:rFonts w:eastAsia="楷体_GB2312"/>
        <w:sz w:val="28"/>
      </w:rPr>
      <w:fldChar w:fldCharType="end"/>
    </w:r>
    <w:r>
      <w:rPr>
        <w:rStyle w:val="17"/>
        <w:rFonts w:ascii="仿宋_GB2312"/>
        <w:vanish/>
        <w:sz w:val="28"/>
      </w:rPr>
      <w:pgNum/>
    </w:r>
    <w:r>
      <w:rPr>
        <w:rStyle w:val="17"/>
        <w:rFonts w:ascii="仿宋_GB2312" w:hAnsi="仿宋_GB2312"/>
        <w:sz w:val="28"/>
      </w:rPr>
      <w:t xml:space="preserve"> —</w:t>
    </w:r>
  </w:p>
  <w:p>
    <w:pPr>
      <w:pStyle w:val="12"/>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spacing w:line="240" w:lineRule="auto"/>
      <w:ind w:left="320" w:leftChars="100" w:firstLine="0" w:firstLineChars="0"/>
      <w:rPr>
        <w:rStyle w:val="17"/>
      </w:rPr>
    </w:pPr>
    <w:r>
      <w:rPr>
        <w:rStyle w:val="17"/>
        <w:rFonts w:ascii="仿宋_GB2312" w:hAnsi="仿宋_GB2312"/>
        <w:sz w:val="28"/>
      </w:rPr>
      <w:t>—</w:t>
    </w:r>
    <w:r>
      <w:rPr>
        <w:rStyle w:val="17"/>
        <w:rFonts w:eastAsia="楷体_GB2312"/>
        <w:sz w:val="28"/>
      </w:rPr>
      <w:fldChar w:fldCharType="begin"/>
    </w:r>
    <w:r>
      <w:rPr>
        <w:rStyle w:val="17"/>
        <w:rFonts w:eastAsia="楷体_GB2312"/>
        <w:sz w:val="28"/>
      </w:rPr>
      <w:instrText xml:space="preserve">PAGE  </w:instrText>
    </w:r>
    <w:r>
      <w:rPr>
        <w:rStyle w:val="17"/>
        <w:rFonts w:eastAsia="楷体_GB2312"/>
        <w:sz w:val="28"/>
      </w:rPr>
      <w:fldChar w:fldCharType="separate"/>
    </w:r>
    <w:r>
      <w:rPr>
        <w:rStyle w:val="17"/>
        <w:rFonts w:eastAsia="楷体_GB2312"/>
        <w:sz w:val="28"/>
      </w:rPr>
      <w:t>2</w:t>
    </w:r>
    <w:r>
      <w:rPr>
        <w:rStyle w:val="17"/>
        <w:rFonts w:eastAsia="楷体_GB2312"/>
        <w:sz w:val="28"/>
      </w:rPr>
      <w:fldChar w:fldCharType="end"/>
    </w:r>
    <w:r>
      <w:rPr>
        <w:rStyle w:val="17"/>
        <w:rFonts w:ascii="仿宋_GB2312" w:hAnsi="仿宋_GB2312"/>
        <w:sz w:val="28"/>
      </w:rPr>
      <w:t xml:space="preserve"> —</w:t>
    </w:r>
  </w:p>
  <w:p>
    <w:pPr>
      <w:pStyle w:val="12"/>
      <w:spacing w:line="240" w:lineRule="auto"/>
      <w:ind w:left="320" w:leftChars="100" w:firstLine="0" w:firstLineChars="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val="0"/>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ind w:firstLine="360" w:firstLineChars="2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val="0"/>
      <w:pBdr>
        <w:top w:val="none" w:color="auto" w:sz="0" w:space="1"/>
        <w:left w:val="none" w:color="auto" w:sz="0" w:space="4"/>
        <w:bottom w:val="none" w:color="auto" w:sz="0" w:space="1"/>
        <w:right w:val="none" w:color="auto" w:sz="0" w:space="4"/>
        <w:between w:val="none" w:color="auto" w:sz="0" w:space="0"/>
      </w:pBdr>
      <w:adjustRightInd w:val="0"/>
      <w:snapToGrid w:val="0"/>
      <w:spacing w:line="360" w:lineRule="auto"/>
      <w:ind w:firstLine="360" w:firstLineChars="20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pStyle w:val="34"/>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5"/>
  <w:evenAndOddHeaders w:val="1"/>
  <w:drawingGridHorizontalSpacing w:val="154"/>
  <w:drawingGridVerticalSpacing w:val="218"/>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A8"/>
    <w:rsid w:val="00005A67"/>
    <w:rsid w:val="000061AE"/>
    <w:rsid w:val="00007A2D"/>
    <w:rsid w:val="00014996"/>
    <w:rsid w:val="00021ED8"/>
    <w:rsid w:val="00024911"/>
    <w:rsid w:val="00027A34"/>
    <w:rsid w:val="00027F30"/>
    <w:rsid w:val="00033856"/>
    <w:rsid w:val="000343E0"/>
    <w:rsid w:val="00034698"/>
    <w:rsid w:val="00034850"/>
    <w:rsid w:val="0003741E"/>
    <w:rsid w:val="000400D7"/>
    <w:rsid w:val="0004612F"/>
    <w:rsid w:val="000501EB"/>
    <w:rsid w:val="00054FD2"/>
    <w:rsid w:val="00061719"/>
    <w:rsid w:val="00062A0A"/>
    <w:rsid w:val="00064F7C"/>
    <w:rsid w:val="00065DD3"/>
    <w:rsid w:val="00067130"/>
    <w:rsid w:val="00070B20"/>
    <w:rsid w:val="00070E85"/>
    <w:rsid w:val="00071EA7"/>
    <w:rsid w:val="00076DE5"/>
    <w:rsid w:val="00077CA2"/>
    <w:rsid w:val="0008083F"/>
    <w:rsid w:val="00080B7E"/>
    <w:rsid w:val="0008402F"/>
    <w:rsid w:val="0009391D"/>
    <w:rsid w:val="00097973"/>
    <w:rsid w:val="000A11E2"/>
    <w:rsid w:val="000A210F"/>
    <w:rsid w:val="000A2A03"/>
    <w:rsid w:val="000A60F5"/>
    <w:rsid w:val="000A732D"/>
    <w:rsid w:val="000C4362"/>
    <w:rsid w:val="000C641B"/>
    <w:rsid w:val="000D2435"/>
    <w:rsid w:val="000D3AB2"/>
    <w:rsid w:val="000E206C"/>
    <w:rsid w:val="000E5EB3"/>
    <w:rsid w:val="000E624A"/>
    <w:rsid w:val="000F617C"/>
    <w:rsid w:val="000F624B"/>
    <w:rsid w:val="00112324"/>
    <w:rsid w:val="00112B9E"/>
    <w:rsid w:val="00116848"/>
    <w:rsid w:val="00116A30"/>
    <w:rsid w:val="0012476F"/>
    <w:rsid w:val="00124E87"/>
    <w:rsid w:val="00125D68"/>
    <w:rsid w:val="001274ED"/>
    <w:rsid w:val="00127AC5"/>
    <w:rsid w:val="0013098D"/>
    <w:rsid w:val="00134C1A"/>
    <w:rsid w:val="00141D87"/>
    <w:rsid w:val="001431BA"/>
    <w:rsid w:val="00143E27"/>
    <w:rsid w:val="001507EF"/>
    <w:rsid w:val="00154E3E"/>
    <w:rsid w:val="0016541F"/>
    <w:rsid w:val="00172A27"/>
    <w:rsid w:val="0017450E"/>
    <w:rsid w:val="00174957"/>
    <w:rsid w:val="00174A7D"/>
    <w:rsid w:val="00175521"/>
    <w:rsid w:val="00176081"/>
    <w:rsid w:val="00180547"/>
    <w:rsid w:val="0018314A"/>
    <w:rsid w:val="00184429"/>
    <w:rsid w:val="0018467F"/>
    <w:rsid w:val="00185807"/>
    <w:rsid w:val="00186E62"/>
    <w:rsid w:val="00187C4E"/>
    <w:rsid w:val="00190DB4"/>
    <w:rsid w:val="00190DDD"/>
    <w:rsid w:val="00194186"/>
    <w:rsid w:val="001960F6"/>
    <w:rsid w:val="0019631D"/>
    <w:rsid w:val="001A030D"/>
    <w:rsid w:val="001A0A34"/>
    <w:rsid w:val="001A29AC"/>
    <w:rsid w:val="001A6C5C"/>
    <w:rsid w:val="001B6347"/>
    <w:rsid w:val="001B69AF"/>
    <w:rsid w:val="001C37A6"/>
    <w:rsid w:val="001C384B"/>
    <w:rsid w:val="001C5906"/>
    <w:rsid w:val="001C72F8"/>
    <w:rsid w:val="001C766B"/>
    <w:rsid w:val="001C7781"/>
    <w:rsid w:val="001D0D33"/>
    <w:rsid w:val="001D6C58"/>
    <w:rsid w:val="001D7654"/>
    <w:rsid w:val="001E246A"/>
    <w:rsid w:val="001E4C53"/>
    <w:rsid w:val="001E7681"/>
    <w:rsid w:val="001F451E"/>
    <w:rsid w:val="001F6241"/>
    <w:rsid w:val="0020154A"/>
    <w:rsid w:val="00201B2F"/>
    <w:rsid w:val="0020385D"/>
    <w:rsid w:val="00210E25"/>
    <w:rsid w:val="00212835"/>
    <w:rsid w:val="002128A6"/>
    <w:rsid w:val="002233D3"/>
    <w:rsid w:val="00225BE1"/>
    <w:rsid w:val="00231036"/>
    <w:rsid w:val="0023132E"/>
    <w:rsid w:val="002322B6"/>
    <w:rsid w:val="002337AC"/>
    <w:rsid w:val="00243507"/>
    <w:rsid w:val="0024464C"/>
    <w:rsid w:val="00257027"/>
    <w:rsid w:val="00264060"/>
    <w:rsid w:val="00265411"/>
    <w:rsid w:val="002661C8"/>
    <w:rsid w:val="002664EC"/>
    <w:rsid w:val="00267FBA"/>
    <w:rsid w:val="00271B03"/>
    <w:rsid w:val="00285567"/>
    <w:rsid w:val="00285F7A"/>
    <w:rsid w:val="00290B1E"/>
    <w:rsid w:val="00293C6B"/>
    <w:rsid w:val="002968F1"/>
    <w:rsid w:val="002A47EB"/>
    <w:rsid w:val="002B444C"/>
    <w:rsid w:val="002B60CE"/>
    <w:rsid w:val="002D1721"/>
    <w:rsid w:val="002D39EF"/>
    <w:rsid w:val="002E1BC9"/>
    <w:rsid w:val="002E3721"/>
    <w:rsid w:val="002E3F78"/>
    <w:rsid w:val="002F2160"/>
    <w:rsid w:val="002F34F7"/>
    <w:rsid w:val="002F548F"/>
    <w:rsid w:val="002F72C5"/>
    <w:rsid w:val="00302C21"/>
    <w:rsid w:val="00302E06"/>
    <w:rsid w:val="00323CE6"/>
    <w:rsid w:val="003245F8"/>
    <w:rsid w:val="003275E3"/>
    <w:rsid w:val="003303D4"/>
    <w:rsid w:val="003317EC"/>
    <w:rsid w:val="00334216"/>
    <w:rsid w:val="00334BD1"/>
    <w:rsid w:val="00336C12"/>
    <w:rsid w:val="00337057"/>
    <w:rsid w:val="00343F5C"/>
    <w:rsid w:val="00346964"/>
    <w:rsid w:val="00354E4E"/>
    <w:rsid w:val="003562FB"/>
    <w:rsid w:val="00356967"/>
    <w:rsid w:val="003600EC"/>
    <w:rsid w:val="00361432"/>
    <w:rsid w:val="003668F3"/>
    <w:rsid w:val="00370A88"/>
    <w:rsid w:val="00372DE6"/>
    <w:rsid w:val="00390A57"/>
    <w:rsid w:val="00392EA3"/>
    <w:rsid w:val="003948C7"/>
    <w:rsid w:val="003A10B7"/>
    <w:rsid w:val="003A5384"/>
    <w:rsid w:val="003B1CE6"/>
    <w:rsid w:val="003B5F96"/>
    <w:rsid w:val="003B753D"/>
    <w:rsid w:val="003C08A3"/>
    <w:rsid w:val="003C47F6"/>
    <w:rsid w:val="003C4D81"/>
    <w:rsid w:val="003C572F"/>
    <w:rsid w:val="003C5B68"/>
    <w:rsid w:val="003C6A6C"/>
    <w:rsid w:val="003E3672"/>
    <w:rsid w:val="003E62A2"/>
    <w:rsid w:val="003F1816"/>
    <w:rsid w:val="003F35F9"/>
    <w:rsid w:val="00402E66"/>
    <w:rsid w:val="0040334D"/>
    <w:rsid w:val="00403509"/>
    <w:rsid w:val="00405C20"/>
    <w:rsid w:val="00406510"/>
    <w:rsid w:val="004069CE"/>
    <w:rsid w:val="00410040"/>
    <w:rsid w:val="004105A0"/>
    <w:rsid w:val="004112E9"/>
    <w:rsid w:val="00412780"/>
    <w:rsid w:val="00413C9D"/>
    <w:rsid w:val="00425366"/>
    <w:rsid w:val="00433AF4"/>
    <w:rsid w:val="00435433"/>
    <w:rsid w:val="004360C2"/>
    <w:rsid w:val="00437096"/>
    <w:rsid w:val="00437396"/>
    <w:rsid w:val="0044011D"/>
    <w:rsid w:val="00441482"/>
    <w:rsid w:val="0044630A"/>
    <w:rsid w:val="00446C66"/>
    <w:rsid w:val="00450A60"/>
    <w:rsid w:val="00454008"/>
    <w:rsid w:val="00466B88"/>
    <w:rsid w:val="00470CC3"/>
    <w:rsid w:val="00474BBE"/>
    <w:rsid w:val="004835FF"/>
    <w:rsid w:val="0048606A"/>
    <w:rsid w:val="00486CF2"/>
    <w:rsid w:val="00486F1A"/>
    <w:rsid w:val="004904C8"/>
    <w:rsid w:val="00496A38"/>
    <w:rsid w:val="004A37EA"/>
    <w:rsid w:val="004A4DFC"/>
    <w:rsid w:val="004B468E"/>
    <w:rsid w:val="004B54D1"/>
    <w:rsid w:val="004B698F"/>
    <w:rsid w:val="004B7428"/>
    <w:rsid w:val="004C6694"/>
    <w:rsid w:val="004D02C7"/>
    <w:rsid w:val="004D6A00"/>
    <w:rsid w:val="004D7BC9"/>
    <w:rsid w:val="004E67A6"/>
    <w:rsid w:val="00503F01"/>
    <w:rsid w:val="005054DC"/>
    <w:rsid w:val="00505E4A"/>
    <w:rsid w:val="00506527"/>
    <w:rsid w:val="005131AD"/>
    <w:rsid w:val="0052058D"/>
    <w:rsid w:val="00520E5E"/>
    <w:rsid w:val="005224E1"/>
    <w:rsid w:val="00522572"/>
    <w:rsid w:val="00524A5A"/>
    <w:rsid w:val="0053212F"/>
    <w:rsid w:val="00540F49"/>
    <w:rsid w:val="0054151C"/>
    <w:rsid w:val="00545BD1"/>
    <w:rsid w:val="00545F6F"/>
    <w:rsid w:val="00547501"/>
    <w:rsid w:val="00547FDC"/>
    <w:rsid w:val="005516A8"/>
    <w:rsid w:val="0055254B"/>
    <w:rsid w:val="005616E5"/>
    <w:rsid w:val="00563ADA"/>
    <w:rsid w:val="005672B6"/>
    <w:rsid w:val="00577C97"/>
    <w:rsid w:val="00577F1F"/>
    <w:rsid w:val="005800B4"/>
    <w:rsid w:val="0058087E"/>
    <w:rsid w:val="005931B3"/>
    <w:rsid w:val="00595C95"/>
    <w:rsid w:val="005B2CD7"/>
    <w:rsid w:val="005C3C15"/>
    <w:rsid w:val="005D5C4A"/>
    <w:rsid w:val="005D6730"/>
    <w:rsid w:val="005E1359"/>
    <w:rsid w:val="005E17F8"/>
    <w:rsid w:val="005E2E86"/>
    <w:rsid w:val="005E545E"/>
    <w:rsid w:val="005F637B"/>
    <w:rsid w:val="00607221"/>
    <w:rsid w:val="00607449"/>
    <w:rsid w:val="00610455"/>
    <w:rsid w:val="00615D3A"/>
    <w:rsid w:val="006200B7"/>
    <w:rsid w:val="006212B0"/>
    <w:rsid w:val="006252E5"/>
    <w:rsid w:val="00625638"/>
    <w:rsid w:val="00625897"/>
    <w:rsid w:val="006325C6"/>
    <w:rsid w:val="006328FD"/>
    <w:rsid w:val="00634F13"/>
    <w:rsid w:val="00637041"/>
    <w:rsid w:val="00645C7D"/>
    <w:rsid w:val="006478FB"/>
    <w:rsid w:val="00647DC9"/>
    <w:rsid w:val="006509FD"/>
    <w:rsid w:val="006633CB"/>
    <w:rsid w:val="0066690A"/>
    <w:rsid w:val="00670C3B"/>
    <w:rsid w:val="006712EF"/>
    <w:rsid w:val="00675854"/>
    <w:rsid w:val="0068146F"/>
    <w:rsid w:val="00686627"/>
    <w:rsid w:val="00687FDC"/>
    <w:rsid w:val="006917F1"/>
    <w:rsid w:val="00697F0B"/>
    <w:rsid w:val="006B0268"/>
    <w:rsid w:val="006C21E5"/>
    <w:rsid w:val="006C624A"/>
    <w:rsid w:val="006D0EB6"/>
    <w:rsid w:val="006D3ABB"/>
    <w:rsid w:val="006D57BD"/>
    <w:rsid w:val="006F1C36"/>
    <w:rsid w:val="006F2094"/>
    <w:rsid w:val="006F231F"/>
    <w:rsid w:val="006F2FF2"/>
    <w:rsid w:val="006F43B8"/>
    <w:rsid w:val="006F746E"/>
    <w:rsid w:val="00701248"/>
    <w:rsid w:val="007045E3"/>
    <w:rsid w:val="00706428"/>
    <w:rsid w:val="0070699B"/>
    <w:rsid w:val="00706EA0"/>
    <w:rsid w:val="0070706F"/>
    <w:rsid w:val="00712223"/>
    <w:rsid w:val="00714BA3"/>
    <w:rsid w:val="00721C27"/>
    <w:rsid w:val="0072229A"/>
    <w:rsid w:val="00722AF7"/>
    <w:rsid w:val="00723F44"/>
    <w:rsid w:val="00724958"/>
    <w:rsid w:val="00726AE2"/>
    <w:rsid w:val="007277D3"/>
    <w:rsid w:val="007309F3"/>
    <w:rsid w:val="00731140"/>
    <w:rsid w:val="007321A4"/>
    <w:rsid w:val="00732A1C"/>
    <w:rsid w:val="0074395A"/>
    <w:rsid w:val="0075200F"/>
    <w:rsid w:val="00752A1F"/>
    <w:rsid w:val="00753FA4"/>
    <w:rsid w:val="00754C27"/>
    <w:rsid w:val="00766F56"/>
    <w:rsid w:val="0077101C"/>
    <w:rsid w:val="00771646"/>
    <w:rsid w:val="007820B8"/>
    <w:rsid w:val="00785C2C"/>
    <w:rsid w:val="00791F85"/>
    <w:rsid w:val="007924E8"/>
    <w:rsid w:val="00792A1C"/>
    <w:rsid w:val="0079650B"/>
    <w:rsid w:val="0079652D"/>
    <w:rsid w:val="007A0D03"/>
    <w:rsid w:val="007A19EC"/>
    <w:rsid w:val="007A6338"/>
    <w:rsid w:val="007A7F51"/>
    <w:rsid w:val="007B2D98"/>
    <w:rsid w:val="007B7E8D"/>
    <w:rsid w:val="007C12C8"/>
    <w:rsid w:val="007C537B"/>
    <w:rsid w:val="007C5A5D"/>
    <w:rsid w:val="007C5E34"/>
    <w:rsid w:val="007C649D"/>
    <w:rsid w:val="007F2E7D"/>
    <w:rsid w:val="007F39FA"/>
    <w:rsid w:val="007F43D6"/>
    <w:rsid w:val="007F60B0"/>
    <w:rsid w:val="00802639"/>
    <w:rsid w:val="00802779"/>
    <w:rsid w:val="0081134E"/>
    <w:rsid w:val="0082176E"/>
    <w:rsid w:val="00824592"/>
    <w:rsid w:val="008301BA"/>
    <w:rsid w:val="008320CB"/>
    <w:rsid w:val="00832C4D"/>
    <w:rsid w:val="00834052"/>
    <w:rsid w:val="008353C5"/>
    <w:rsid w:val="00842DB6"/>
    <w:rsid w:val="00845ECE"/>
    <w:rsid w:val="00852B43"/>
    <w:rsid w:val="00856881"/>
    <w:rsid w:val="00870266"/>
    <w:rsid w:val="008717AD"/>
    <w:rsid w:val="0087260C"/>
    <w:rsid w:val="00873C81"/>
    <w:rsid w:val="00882D9E"/>
    <w:rsid w:val="00886A8D"/>
    <w:rsid w:val="00886B41"/>
    <w:rsid w:val="00890528"/>
    <w:rsid w:val="00890B6D"/>
    <w:rsid w:val="008920DA"/>
    <w:rsid w:val="00895946"/>
    <w:rsid w:val="00896E68"/>
    <w:rsid w:val="008A2655"/>
    <w:rsid w:val="008A548D"/>
    <w:rsid w:val="008B24BA"/>
    <w:rsid w:val="008B7D9E"/>
    <w:rsid w:val="008C0C23"/>
    <w:rsid w:val="008C3450"/>
    <w:rsid w:val="008C3AF6"/>
    <w:rsid w:val="008C5E44"/>
    <w:rsid w:val="008C66FC"/>
    <w:rsid w:val="008D1A31"/>
    <w:rsid w:val="008D2789"/>
    <w:rsid w:val="008E11C4"/>
    <w:rsid w:val="008E4084"/>
    <w:rsid w:val="008E71C2"/>
    <w:rsid w:val="009037E4"/>
    <w:rsid w:val="00904CF6"/>
    <w:rsid w:val="00907057"/>
    <w:rsid w:val="00913562"/>
    <w:rsid w:val="009147EC"/>
    <w:rsid w:val="00927A8C"/>
    <w:rsid w:val="00937FB1"/>
    <w:rsid w:val="00941881"/>
    <w:rsid w:val="009457B2"/>
    <w:rsid w:val="0094734E"/>
    <w:rsid w:val="00947AFB"/>
    <w:rsid w:val="00950CD8"/>
    <w:rsid w:val="00951D8B"/>
    <w:rsid w:val="00955F61"/>
    <w:rsid w:val="00956F42"/>
    <w:rsid w:val="00961B1A"/>
    <w:rsid w:val="00971F42"/>
    <w:rsid w:val="0098168E"/>
    <w:rsid w:val="00986B5F"/>
    <w:rsid w:val="009913DB"/>
    <w:rsid w:val="00991748"/>
    <w:rsid w:val="00993021"/>
    <w:rsid w:val="009957A8"/>
    <w:rsid w:val="00997DC8"/>
    <w:rsid w:val="009A4597"/>
    <w:rsid w:val="009B096E"/>
    <w:rsid w:val="009B1690"/>
    <w:rsid w:val="009B369E"/>
    <w:rsid w:val="009B7D77"/>
    <w:rsid w:val="009C12C4"/>
    <w:rsid w:val="009C38C9"/>
    <w:rsid w:val="009C4B10"/>
    <w:rsid w:val="009C535B"/>
    <w:rsid w:val="009C7A31"/>
    <w:rsid w:val="009D7A25"/>
    <w:rsid w:val="009E1A54"/>
    <w:rsid w:val="009E3CEC"/>
    <w:rsid w:val="009E4C9D"/>
    <w:rsid w:val="009F1FDF"/>
    <w:rsid w:val="009F6813"/>
    <w:rsid w:val="00A01995"/>
    <w:rsid w:val="00A02E03"/>
    <w:rsid w:val="00A14E16"/>
    <w:rsid w:val="00A20057"/>
    <w:rsid w:val="00A245E9"/>
    <w:rsid w:val="00A336E8"/>
    <w:rsid w:val="00A366E3"/>
    <w:rsid w:val="00A431A7"/>
    <w:rsid w:val="00A46092"/>
    <w:rsid w:val="00A55905"/>
    <w:rsid w:val="00A6023A"/>
    <w:rsid w:val="00A60862"/>
    <w:rsid w:val="00A60A19"/>
    <w:rsid w:val="00A6136E"/>
    <w:rsid w:val="00A648BA"/>
    <w:rsid w:val="00A66724"/>
    <w:rsid w:val="00A66DBC"/>
    <w:rsid w:val="00A72DA3"/>
    <w:rsid w:val="00A7393F"/>
    <w:rsid w:val="00A77CA5"/>
    <w:rsid w:val="00A77D75"/>
    <w:rsid w:val="00A85620"/>
    <w:rsid w:val="00A878C6"/>
    <w:rsid w:val="00A87C92"/>
    <w:rsid w:val="00A93BB7"/>
    <w:rsid w:val="00A962A1"/>
    <w:rsid w:val="00A97513"/>
    <w:rsid w:val="00AA2990"/>
    <w:rsid w:val="00AA4A8A"/>
    <w:rsid w:val="00AA5F49"/>
    <w:rsid w:val="00AA666C"/>
    <w:rsid w:val="00AC1E1B"/>
    <w:rsid w:val="00AD0652"/>
    <w:rsid w:val="00AD0F14"/>
    <w:rsid w:val="00AD28E0"/>
    <w:rsid w:val="00AD37E8"/>
    <w:rsid w:val="00AE1EEF"/>
    <w:rsid w:val="00AE1F33"/>
    <w:rsid w:val="00AE4D7C"/>
    <w:rsid w:val="00AE66FD"/>
    <w:rsid w:val="00AF1618"/>
    <w:rsid w:val="00AF2EA0"/>
    <w:rsid w:val="00AF5F86"/>
    <w:rsid w:val="00AF6956"/>
    <w:rsid w:val="00AF6C2B"/>
    <w:rsid w:val="00B03874"/>
    <w:rsid w:val="00B03D9D"/>
    <w:rsid w:val="00B13964"/>
    <w:rsid w:val="00B141AC"/>
    <w:rsid w:val="00B15FB8"/>
    <w:rsid w:val="00B22ED3"/>
    <w:rsid w:val="00B270DB"/>
    <w:rsid w:val="00B30AD6"/>
    <w:rsid w:val="00B35213"/>
    <w:rsid w:val="00B36171"/>
    <w:rsid w:val="00B36DF7"/>
    <w:rsid w:val="00B40BE6"/>
    <w:rsid w:val="00B41288"/>
    <w:rsid w:val="00B44EC6"/>
    <w:rsid w:val="00B454DE"/>
    <w:rsid w:val="00B53EB6"/>
    <w:rsid w:val="00B5410B"/>
    <w:rsid w:val="00B62713"/>
    <w:rsid w:val="00B66317"/>
    <w:rsid w:val="00B664AA"/>
    <w:rsid w:val="00B67DE8"/>
    <w:rsid w:val="00B710AE"/>
    <w:rsid w:val="00B74DCB"/>
    <w:rsid w:val="00B778DC"/>
    <w:rsid w:val="00B8207E"/>
    <w:rsid w:val="00B83044"/>
    <w:rsid w:val="00B85622"/>
    <w:rsid w:val="00B86436"/>
    <w:rsid w:val="00B9155A"/>
    <w:rsid w:val="00BA285A"/>
    <w:rsid w:val="00BB515F"/>
    <w:rsid w:val="00BB751D"/>
    <w:rsid w:val="00BC3032"/>
    <w:rsid w:val="00BC6120"/>
    <w:rsid w:val="00BC7316"/>
    <w:rsid w:val="00BC765D"/>
    <w:rsid w:val="00BD14BB"/>
    <w:rsid w:val="00BD1C6B"/>
    <w:rsid w:val="00BD54DD"/>
    <w:rsid w:val="00BE29D7"/>
    <w:rsid w:val="00BE33C0"/>
    <w:rsid w:val="00BE4D71"/>
    <w:rsid w:val="00BE5015"/>
    <w:rsid w:val="00BE73DD"/>
    <w:rsid w:val="00C02AB6"/>
    <w:rsid w:val="00C02E39"/>
    <w:rsid w:val="00C06D32"/>
    <w:rsid w:val="00C06FBA"/>
    <w:rsid w:val="00C109BD"/>
    <w:rsid w:val="00C21610"/>
    <w:rsid w:val="00C254CD"/>
    <w:rsid w:val="00C25557"/>
    <w:rsid w:val="00C2767F"/>
    <w:rsid w:val="00C302CF"/>
    <w:rsid w:val="00C37763"/>
    <w:rsid w:val="00C409D6"/>
    <w:rsid w:val="00C41489"/>
    <w:rsid w:val="00C41ADC"/>
    <w:rsid w:val="00C42E8F"/>
    <w:rsid w:val="00C4651B"/>
    <w:rsid w:val="00C52CC7"/>
    <w:rsid w:val="00C54991"/>
    <w:rsid w:val="00C576CF"/>
    <w:rsid w:val="00C61300"/>
    <w:rsid w:val="00C66ADF"/>
    <w:rsid w:val="00C77B45"/>
    <w:rsid w:val="00C839E8"/>
    <w:rsid w:val="00C87061"/>
    <w:rsid w:val="00C878CC"/>
    <w:rsid w:val="00C909AC"/>
    <w:rsid w:val="00C912F1"/>
    <w:rsid w:val="00C91E48"/>
    <w:rsid w:val="00CA484D"/>
    <w:rsid w:val="00CB0727"/>
    <w:rsid w:val="00CB0A1D"/>
    <w:rsid w:val="00CB1DCF"/>
    <w:rsid w:val="00CB6C52"/>
    <w:rsid w:val="00CB7967"/>
    <w:rsid w:val="00CC4230"/>
    <w:rsid w:val="00CC55E2"/>
    <w:rsid w:val="00CC636C"/>
    <w:rsid w:val="00CC72EF"/>
    <w:rsid w:val="00CD2A61"/>
    <w:rsid w:val="00CD3827"/>
    <w:rsid w:val="00CD4405"/>
    <w:rsid w:val="00CE1D7A"/>
    <w:rsid w:val="00CE4DF9"/>
    <w:rsid w:val="00CF39D0"/>
    <w:rsid w:val="00CF4B49"/>
    <w:rsid w:val="00CF6FC2"/>
    <w:rsid w:val="00D05C8E"/>
    <w:rsid w:val="00D06EA2"/>
    <w:rsid w:val="00D11FC3"/>
    <w:rsid w:val="00D1480A"/>
    <w:rsid w:val="00D1568E"/>
    <w:rsid w:val="00D15A1A"/>
    <w:rsid w:val="00D214B7"/>
    <w:rsid w:val="00D27C97"/>
    <w:rsid w:val="00D3255F"/>
    <w:rsid w:val="00D40429"/>
    <w:rsid w:val="00D40E3A"/>
    <w:rsid w:val="00D47EE9"/>
    <w:rsid w:val="00D5456F"/>
    <w:rsid w:val="00D6356B"/>
    <w:rsid w:val="00D65D3A"/>
    <w:rsid w:val="00D6644F"/>
    <w:rsid w:val="00D66C55"/>
    <w:rsid w:val="00D67EA9"/>
    <w:rsid w:val="00D703FE"/>
    <w:rsid w:val="00D732A3"/>
    <w:rsid w:val="00D75EDB"/>
    <w:rsid w:val="00D7717E"/>
    <w:rsid w:val="00D804C2"/>
    <w:rsid w:val="00D826AC"/>
    <w:rsid w:val="00D867BA"/>
    <w:rsid w:val="00D94E4F"/>
    <w:rsid w:val="00DA0553"/>
    <w:rsid w:val="00DA1650"/>
    <w:rsid w:val="00DA31EB"/>
    <w:rsid w:val="00DB0709"/>
    <w:rsid w:val="00DB11E3"/>
    <w:rsid w:val="00DB4E74"/>
    <w:rsid w:val="00DC00B6"/>
    <w:rsid w:val="00DC11AF"/>
    <w:rsid w:val="00DC182B"/>
    <w:rsid w:val="00DC7FD6"/>
    <w:rsid w:val="00DD0306"/>
    <w:rsid w:val="00DD1EC2"/>
    <w:rsid w:val="00DD35DC"/>
    <w:rsid w:val="00DD3DD5"/>
    <w:rsid w:val="00DD61EB"/>
    <w:rsid w:val="00DD648E"/>
    <w:rsid w:val="00DE3412"/>
    <w:rsid w:val="00E01EB4"/>
    <w:rsid w:val="00E05D3C"/>
    <w:rsid w:val="00E0607C"/>
    <w:rsid w:val="00E305FB"/>
    <w:rsid w:val="00E32235"/>
    <w:rsid w:val="00E34B8A"/>
    <w:rsid w:val="00E34BC6"/>
    <w:rsid w:val="00E375C6"/>
    <w:rsid w:val="00E41FFE"/>
    <w:rsid w:val="00E46CC4"/>
    <w:rsid w:val="00E50403"/>
    <w:rsid w:val="00E51B17"/>
    <w:rsid w:val="00E53505"/>
    <w:rsid w:val="00E55AED"/>
    <w:rsid w:val="00E666BB"/>
    <w:rsid w:val="00E73B5F"/>
    <w:rsid w:val="00E73CA6"/>
    <w:rsid w:val="00E77AD0"/>
    <w:rsid w:val="00E77ADC"/>
    <w:rsid w:val="00E8250E"/>
    <w:rsid w:val="00E83630"/>
    <w:rsid w:val="00E8486C"/>
    <w:rsid w:val="00E8706D"/>
    <w:rsid w:val="00E87B0D"/>
    <w:rsid w:val="00E9015E"/>
    <w:rsid w:val="00EA246F"/>
    <w:rsid w:val="00EA2877"/>
    <w:rsid w:val="00EA3301"/>
    <w:rsid w:val="00EB0A54"/>
    <w:rsid w:val="00EB178D"/>
    <w:rsid w:val="00EB225E"/>
    <w:rsid w:val="00EC3073"/>
    <w:rsid w:val="00ED3556"/>
    <w:rsid w:val="00ED38E3"/>
    <w:rsid w:val="00ED4F7E"/>
    <w:rsid w:val="00EE285F"/>
    <w:rsid w:val="00EE64F8"/>
    <w:rsid w:val="00EE7D36"/>
    <w:rsid w:val="00EF7132"/>
    <w:rsid w:val="00EF7812"/>
    <w:rsid w:val="00F00BC5"/>
    <w:rsid w:val="00F049F1"/>
    <w:rsid w:val="00F06AEF"/>
    <w:rsid w:val="00F1090D"/>
    <w:rsid w:val="00F130F8"/>
    <w:rsid w:val="00F135A0"/>
    <w:rsid w:val="00F14D90"/>
    <w:rsid w:val="00F21F2F"/>
    <w:rsid w:val="00F224D8"/>
    <w:rsid w:val="00F229B5"/>
    <w:rsid w:val="00F23C1F"/>
    <w:rsid w:val="00F27370"/>
    <w:rsid w:val="00F27A2E"/>
    <w:rsid w:val="00F337C7"/>
    <w:rsid w:val="00F33BF7"/>
    <w:rsid w:val="00F34A32"/>
    <w:rsid w:val="00F40D6D"/>
    <w:rsid w:val="00F61E66"/>
    <w:rsid w:val="00F63872"/>
    <w:rsid w:val="00F6655E"/>
    <w:rsid w:val="00F70A32"/>
    <w:rsid w:val="00F72C98"/>
    <w:rsid w:val="00F73261"/>
    <w:rsid w:val="00F877F3"/>
    <w:rsid w:val="00F87B0C"/>
    <w:rsid w:val="00FA0FBC"/>
    <w:rsid w:val="00FA3883"/>
    <w:rsid w:val="00FA7198"/>
    <w:rsid w:val="00FB0239"/>
    <w:rsid w:val="00FB2774"/>
    <w:rsid w:val="00FB6F70"/>
    <w:rsid w:val="00FB7EA5"/>
    <w:rsid w:val="00FC660D"/>
    <w:rsid w:val="00FD4522"/>
    <w:rsid w:val="00FD50CB"/>
    <w:rsid w:val="00FD766D"/>
    <w:rsid w:val="00FD7BBA"/>
    <w:rsid w:val="00FE5478"/>
    <w:rsid w:val="00FF07A8"/>
    <w:rsid w:val="00FF3ECB"/>
    <w:rsid w:val="00FF5E4D"/>
    <w:rsid w:val="047468AE"/>
    <w:rsid w:val="06696B2E"/>
    <w:rsid w:val="0BCE3829"/>
    <w:rsid w:val="10452AA5"/>
    <w:rsid w:val="10FD787B"/>
    <w:rsid w:val="11A85C35"/>
    <w:rsid w:val="13DF0B64"/>
    <w:rsid w:val="14261ED1"/>
    <w:rsid w:val="143731C7"/>
    <w:rsid w:val="213317BF"/>
    <w:rsid w:val="24005DF0"/>
    <w:rsid w:val="33B67325"/>
    <w:rsid w:val="34B33816"/>
    <w:rsid w:val="387D5985"/>
    <w:rsid w:val="3A0B7A44"/>
    <w:rsid w:val="3A5F24B8"/>
    <w:rsid w:val="43D5463B"/>
    <w:rsid w:val="4C7B378B"/>
    <w:rsid w:val="4F4C1D1A"/>
    <w:rsid w:val="504967A8"/>
    <w:rsid w:val="50A77E93"/>
    <w:rsid w:val="540A4B94"/>
    <w:rsid w:val="5A1976B7"/>
    <w:rsid w:val="5BDB70A4"/>
    <w:rsid w:val="61047720"/>
    <w:rsid w:val="612158D6"/>
    <w:rsid w:val="62495B07"/>
    <w:rsid w:val="648A7972"/>
    <w:rsid w:val="6A8D38E9"/>
    <w:rsid w:val="6ACD33E2"/>
    <w:rsid w:val="716337F0"/>
    <w:rsid w:val="775B0F6D"/>
    <w:rsid w:val="777C438B"/>
    <w:rsid w:val="78283B45"/>
    <w:rsid w:val="78660BE6"/>
    <w:rsid w:val="78727B01"/>
    <w:rsid w:val="7AE831D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ocked="1"/>
    <w:lsdException w:unhideWhenUsed="0" w:uiPriority="0" w:name="toc 2" w:locked="1"/>
    <w:lsdException w:unhideWhenUsed="0" w:uiPriority="0" w:name="toc 3" w:locked="1"/>
    <w:lsdException w:unhideWhenUsed="0" w:uiPriority="0" w:name="toc 4" w:locked="1"/>
    <w:lsdException w:unhideWhenUsed="0" w:uiPriority="0" w:name="toc 5" w:locked="1"/>
    <w:lsdException w:unhideWhenUsed="0" w:uiPriority="0" w:name="toc 6" w:locked="1"/>
    <w:lsdException w:unhideWhenUsed="0" w:uiPriority="0" w:name="toc 7" w:locked="1"/>
    <w:lsdException w:unhideWhenUsed="0" w:uiPriority="0" w:name="toc 8" w:locked="1"/>
    <w:lsdException w:unhideWhenUsed="0" w:uiPriority="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40" w:firstLineChars="20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link w:val="20"/>
    <w:qFormat/>
    <w:uiPriority w:val="99"/>
    <w:pPr>
      <w:keepNext/>
      <w:ind w:firstLine="632"/>
      <w:outlineLvl w:val="0"/>
    </w:pPr>
    <w:rPr>
      <w:rFonts w:eastAsia="黑体"/>
    </w:rPr>
  </w:style>
  <w:style w:type="paragraph" w:styleId="3">
    <w:name w:val="heading 2"/>
    <w:basedOn w:val="1"/>
    <w:next w:val="1"/>
    <w:link w:val="21"/>
    <w:qFormat/>
    <w:uiPriority w:val="99"/>
    <w:pPr>
      <w:spacing w:line="353" w:lineRule="auto"/>
      <w:ind w:firstLine="576"/>
      <w:outlineLvl w:val="1"/>
    </w:pPr>
    <w:rPr>
      <w:rFonts w:eastAsia="楷体_GB2312"/>
      <w:b/>
    </w:rPr>
  </w:style>
  <w:style w:type="paragraph" w:styleId="4">
    <w:name w:val="heading 3"/>
    <w:basedOn w:val="1"/>
    <w:next w:val="1"/>
    <w:link w:val="22"/>
    <w:qFormat/>
    <w:uiPriority w:val="99"/>
    <w:pPr>
      <w:spacing w:line="353" w:lineRule="auto"/>
      <w:ind w:firstLine="576"/>
      <w:outlineLvl w:val="2"/>
    </w:pPr>
    <w:rPr>
      <w:b/>
    </w:rPr>
  </w:style>
  <w:style w:type="character" w:default="1" w:styleId="16">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8"/>
    <w:unhideWhenUsed/>
    <w:qFormat/>
    <w:uiPriority w:val="99"/>
    <w:rPr>
      <w:b/>
      <w:bCs/>
    </w:rPr>
  </w:style>
  <w:style w:type="paragraph" w:styleId="6">
    <w:name w:val="annotation text"/>
    <w:basedOn w:val="1"/>
    <w:link w:val="23"/>
    <w:qFormat/>
    <w:uiPriority w:val="99"/>
    <w:pPr>
      <w:jc w:val="left"/>
    </w:pPr>
  </w:style>
  <w:style w:type="paragraph" w:styleId="7">
    <w:name w:val="Body Text Indent"/>
    <w:basedOn w:val="1"/>
    <w:link w:val="24"/>
    <w:qFormat/>
    <w:uiPriority w:val="99"/>
    <w:pPr>
      <w:ind w:left="1680" w:hanging="990"/>
    </w:pPr>
  </w:style>
  <w:style w:type="paragraph" w:styleId="8">
    <w:name w:val="Plain Text"/>
    <w:basedOn w:val="1"/>
    <w:link w:val="25"/>
    <w:qFormat/>
    <w:uiPriority w:val="99"/>
    <w:pPr>
      <w:autoSpaceDE w:val="0"/>
      <w:autoSpaceDN w:val="0"/>
      <w:textAlignment w:val="baseline"/>
    </w:pPr>
    <w:rPr>
      <w:rFonts w:ascii="宋体" w:eastAsia="宋体"/>
      <w:szCs w:val="20"/>
    </w:rPr>
  </w:style>
  <w:style w:type="paragraph" w:styleId="9">
    <w:name w:val="Date"/>
    <w:basedOn w:val="1"/>
    <w:next w:val="1"/>
    <w:link w:val="26"/>
    <w:qFormat/>
    <w:uiPriority w:val="99"/>
  </w:style>
  <w:style w:type="paragraph" w:styleId="10">
    <w:name w:val="Body Text Indent 2"/>
    <w:basedOn w:val="1"/>
    <w:link w:val="27"/>
    <w:qFormat/>
    <w:uiPriority w:val="99"/>
    <w:pPr>
      <w:ind w:firstLine="690"/>
    </w:pPr>
  </w:style>
  <w:style w:type="paragraph" w:styleId="11">
    <w:name w:val="Balloon Text"/>
    <w:basedOn w:val="1"/>
    <w:link w:val="28"/>
    <w:qFormat/>
    <w:uiPriority w:val="99"/>
    <w:rPr>
      <w:sz w:val="18"/>
      <w:szCs w:val="18"/>
    </w:rPr>
  </w:style>
  <w:style w:type="paragraph" w:styleId="12">
    <w:name w:val="footer"/>
    <w:basedOn w:val="1"/>
    <w:link w:val="29"/>
    <w:qFormat/>
    <w:uiPriority w:val="99"/>
    <w:pPr>
      <w:tabs>
        <w:tab w:val="center" w:pos="4153"/>
        <w:tab w:val="right" w:pos="8306"/>
      </w:tabs>
      <w:jc w:val="left"/>
    </w:pPr>
    <w:rPr>
      <w:sz w:val="18"/>
    </w:rPr>
  </w:style>
  <w:style w:type="paragraph" w:styleId="13">
    <w:name w:val="header"/>
    <w:basedOn w:val="1"/>
    <w:link w:val="30"/>
    <w:qFormat/>
    <w:uiPriority w:val="99"/>
    <w:pPr>
      <w:pBdr>
        <w:bottom w:val="single" w:color="auto" w:sz="6" w:space="1"/>
      </w:pBdr>
      <w:tabs>
        <w:tab w:val="center" w:pos="4153"/>
        <w:tab w:val="right" w:pos="8306"/>
      </w:tabs>
      <w:jc w:val="center"/>
    </w:pPr>
    <w:rPr>
      <w:sz w:val="18"/>
    </w:rPr>
  </w:style>
  <w:style w:type="paragraph" w:styleId="14">
    <w:name w:val="Body Text Indent 3"/>
    <w:basedOn w:val="1"/>
    <w:link w:val="31"/>
    <w:qFormat/>
    <w:uiPriority w:val="99"/>
    <w:pPr>
      <w:tabs>
        <w:tab w:val="left" w:pos="8120"/>
      </w:tabs>
      <w:autoSpaceDE w:val="0"/>
      <w:autoSpaceDN w:val="0"/>
    </w:pPr>
    <w:rPr>
      <w:color w:val="000000"/>
      <w:sz w:val="28"/>
    </w:rPr>
  </w:style>
  <w:style w:type="paragraph" w:styleId="15">
    <w:name w:val="Normal (Web)"/>
    <w:basedOn w:val="1"/>
    <w:qFormat/>
    <w:uiPriority w:val="99"/>
    <w:pPr>
      <w:widowControl/>
      <w:spacing w:before="100" w:beforeAutospacing="1" w:after="100" w:afterAutospacing="1"/>
      <w:jc w:val="left"/>
    </w:pPr>
    <w:rPr>
      <w:rFonts w:ascii="宋体" w:hAnsi="宋体"/>
      <w:kern w:val="0"/>
      <w:sz w:val="24"/>
    </w:rPr>
  </w:style>
  <w:style w:type="character" w:styleId="17">
    <w:name w:val="page number"/>
    <w:qFormat/>
    <w:uiPriority w:val="99"/>
    <w:rPr>
      <w:rFonts w:cs="Times New Roman"/>
    </w:rPr>
  </w:style>
  <w:style w:type="character" w:styleId="18">
    <w:name w:val="annotation reference"/>
    <w:qFormat/>
    <w:uiPriority w:val="99"/>
    <w:rPr>
      <w:rFonts w:cs="Times New Roman"/>
      <w:sz w:val="21"/>
      <w:szCs w:val="21"/>
    </w:rPr>
  </w:style>
  <w:style w:type="character" w:customStyle="1" w:styleId="20">
    <w:name w:val="标题 1 Char"/>
    <w:link w:val="2"/>
    <w:qFormat/>
    <w:uiPriority w:val="9"/>
    <w:rPr>
      <w:rFonts w:eastAsia="仿宋_GB2312"/>
      <w:b/>
      <w:bCs/>
      <w:kern w:val="44"/>
      <w:sz w:val="44"/>
      <w:szCs w:val="44"/>
    </w:rPr>
  </w:style>
  <w:style w:type="character" w:customStyle="1" w:styleId="21">
    <w:name w:val="标题 2 Char"/>
    <w:link w:val="3"/>
    <w:semiHidden/>
    <w:qFormat/>
    <w:uiPriority w:val="9"/>
    <w:rPr>
      <w:rFonts w:ascii="Cambria" w:hAnsi="Cambria" w:eastAsia="宋体" w:cs="Times New Roman"/>
      <w:b/>
      <w:bCs/>
      <w:sz w:val="32"/>
      <w:szCs w:val="32"/>
    </w:rPr>
  </w:style>
  <w:style w:type="character" w:customStyle="1" w:styleId="22">
    <w:name w:val="标题 3 Char"/>
    <w:link w:val="4"/>
    <w:semiHidden/>
    <w:qFormat/>
    <w:uiPriority w:val="9"/>
    <w:rPr>
      <w:rFonts w:eastAsia="仿宋_GB2312"/>
      <w:b/>
      <w:bCs/>
      <w:sz w:val="32"/>
      <w:szCs w:val="32"/>
    </w:rPr>
  </w:style>
  <w:style w:type="character" w:customStyle="1" w:styleId="23">
    <w:name w:val="批注文字 Char1"/>
    <w:link w:val="6"/>
    <w:semiHidden/>
    <w:qFormat/>
    <w:locked/>
    <w:uiPriority w:val="99"/>
    <w:rPr>
      <w:rFonts w:eastAsia="仿宋_GB2312" w:cs="Times New Roman"/>
      <w:kern w:val="2"/>
      <w:sz w:val="32"/>
      <w:szCs w:val="32"/>
    </w:rPr>
  </w:style>
  <w:style w:type="character" w:customStyle="1" w:styleId="24">
    <w:name w:val="正文文本缩进 Char"/>
    <w:link w:val="7"/>
    <w:semiHidden/>
    <w:qFormat/>
    <w:uiPriority w:val="99"/>
    <w:rPr>
      <w:rFonts w:eastAsia="仿宋_GB2312"/>
      <w:sz w:val="32"/>
      <w:szCs w:val="32"/>
    </w:rPr>
  </w:style>
  <w:style w:type="character" w:customStyle="1" w:styleId="25">
    <w:name w:val="纯文本 Char"/>
    <w:link w:val="8"/>
    <w:semiHidden/>
    <w:qFormat/>
    <w:uiPriority w:val="99"/>
    <w:rPr>
      <w:rFonts w:ascii="宋体" w:hAnsi="Courier New" w:cs="Courier New"/>
      <w:szCs w:val="21"/>
    </w:rPr>
  </w:style>
  <w:style w:type="character" w:customStyle="1" w:styleId="26">
    <w:name w:val="日期 Char"/>
    <w:link w:val="9"/>
    <w:semiHidden/>
    <w:qFormat/>
    <w:uiPriority w:val="99"/>
    <w:rPr>
      <w:rFonts w:eastAsia="仿宋_GB2312"/>
      <w:sz w:val="32"/>
      <w:szCs w:val="32"/>
    </w:rPr>
  </w:style>
  <w:style w:type="character" w:customStyle="1" w:styleId="27">
    <w:name w:val="正文文本缩进 2 Char"/>
    <w:link w:val="10"/>
    <w:semiHidden/>
    <w:qFormat/>
    <w:uiPriority w:val="99"/>
    <w:rPr>
      <w:rFonts w:eastAsia="仿宋_GB2312"/>
      <w:sz w:val="32"/>
      <w:szCs w:val="32"/>
    </w:rPr>
  </w:style>
  <w:style w:type="character" w:customStyle="1" w:styleId="28">
    <w:name w:val="批注框文本 Char"/>
    <w:link w:val="11"/>
    <w:semiHidden/>
    <w:qFormat/>
    <w:uiPriority w:val="99"/>
    <w:rPr>
      <w:rFonts w:eastAsia="仿宋_GB2312"/>
      <w:sz w:val="0"/>
      <w:szCs w:val="0"/>
    </w:rPr>
  </w:style>
  <w:style w:type="character" w:customStyle="1" w:styleId="29">
    <w:name w:val="页脚 Char"/>
    <w:link w:val="12"/>
    <w:semiHidden/>
    <w:qFormat/>
    <w:uiPriority w:val="99"/>
    <w:rPr>
      <w:rFonts w:eastAsia="仿宋_GB2312"/>
      <w:sz w:val="18"/>
      <w:szCs w:val="18"/>
    </w:rPr>
  </w:style>
  <w:style w:type="character" w:customStyle="1" w:styleId="30">
    <w:name w:val="页眉 Char"/>
    <w:link w:val="13"/>
    <w:semiHidden/>
    <w:qFormat/>
    <w:uiPriority w:val="99"/>
    <w:rPr>
      <w:rFonts w:eastAsia="仿宋_GB2312"/>
      <w:sz w:val="18"/>
      <w:szCs w:val="18"/>
    </w:rPr>
  </w:style>
  <w:style w:type="character" w:customStyle="1" w:styleId="31">
    <w:name w:val="正文文本缩进 3 Char"/>
    <w:link w:val="14"/>
    <w:semiHidden/>
    <w:qFormat/>
    <w:uiPriority w:val="99"/>
    <w:rPr>
      <w:rFonts w:eastAsia="仿宋_GB2312"/>
      <w:sz w:val="16"/>
      <w:szCs w:val="16"/>
    </w:rPr>
  </w:style>
  <w:style w:type="paragraph" w:customStyle="1" w:styleId="32">
    <w:name w:val="Char Char Char Char Char Char"/>
    <w:basedOn w:val="1"/>
    <w:qFormat/>
    <w:uiPriority w:val="99"/>
  </w:style>
  <w:style w:type="paragraph" w:customStyle="1" w:styleId="33">
    <w:name w:val="p0"/>
    <w:basedOn w:val="1"/>
    <w:qFormat/>
    <w:uiPriority w:val="99"/>
    <w:pPr>
      <w:widowControl/>
    </w:pPr>
    <w:rPr>
      <w:rFonts w:ascii="inherit" w:hAnsi="inherit" w:cs="宋体"/>
      <w:color w:val="000000"/>
      <w:kern w:val="0"/>
      <w:szCs w:val="21"/>
    </w:rPr>
  </w:style>
  <w:style w:type="paragraph" w:customStyle="1" w:styleId="34">
    <w:name w:val="Char Char1"/>
    <w:basedOn w:val="1"/>
    <w:qFormat/>
    <w:uiPriority w:val="99"/>
    <w:pPr>
      <w:numPr>
        <w:ilvl w:val="0"/>
        <w:numId w:val="1"/>
      </w:numPr>
    </w:pPr>
  </w:style>
  <w:style w:type="paragraph" w:customStyle="1" w:styleId="35">
    <w:name w:val="博士论文正文"/>
    <w:basedOn w:val="1"/>
    <w:qFormat/>
    <w:uiPriority w:val="99"/>
    <w:pPr>
      <w:spacing w:line="400" w:lineRule="exact"/>
      <w:ind w:firstLine="200"/>
    </w:pPr>
    <w:rPr>
      <w:sz w:val="24"/>
      <w:szCs w:val="24"/>
    </w:rPr>
  </w:style>
  <w:style w:type="character" w:customStyle="1" w:styleId="36">
    <w:name w:val="批注文字 Char"/>
    <w:semiHidden/>
    <w:qFormat/>
    <w:uiPriority w:val="99"/>
    <w:rPr>
      <w:rFonts w:eastAsia="仿宋_GB2312" w:cs="Times New Roman"/>
      <w:kern w:val="2"/>
      <w:sz w:val="32"/>
      <w:szCs w:val="32"/>
    </w:rPr>
  </w:style>
  <w:style w:type="paragraph" w:customStyle="1" w:styleId="37">
    <w:name w:val="修订1"/>
    <w:hidden/>
    <w:semiHidden/>
    <w:qFormat/>
    <w:uiPriority w:val="99"/>
    <w:rPr>
      <w:rFonts w:ascii="Times New Roman" w:hAnsi="Times New Roman" w:eastAsia="仿宋_GB2312" w:cs="Times New Roman"/>
      <w:kern w:val="2"/>
      <w:sz w:val="32"/>
      <w:szCs w:val="32"/>
      <w:lang w:val="en-US" w:eastAsia="zh-CN" w:bidi="ar-SA"/>
    </w:rPr>
  </w:style>
  <w:style w:type="character" w:customStyle="1" w:styleId="38">
    <w:name w:val="批注主题 Char"/>
    <w:basedOn w:val="23"/>
    <w:link w:val="5"/>
    <w:semiHidden/>
    <w:qFormat/>
    <w:uiPriority w:val="99"/>
    <w:rPr>
      <w:rFonts w:eastAsia="仿宋_GB2312"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2175EB-1E4D-4176-90CB-D582F46EB69A}">
  <ds:schemaRefs/>
</ds:datastoreItem>
</file>

<file path=docProps/app.xml><?xml version="1.0" encoding="utf-8"?>
<Properties xmlns="http://schemas.openxmlformats.org/officeDocument/2006/extended-properties" xmlns:vt="http://schemas.openxmlformats.org/officeDocument/2006/docPropsVTypes">
  <Template>Normal</Template>
  <Company>MOST</Company>
  <Pages>32</Pages>
  <Words>2237</Words>
  <Characters>12757</Characters>
  <Lines>106</Lines>
  <Paragraphs>29</Paragraphs>
  <ScaleCrop>false</ScaleCrop>
  <LinksUpToDate>false</LinksUpToDate>
  <CharactersWithSpaces>14965</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2017-05-01T11:38:00Z</dcterms:created>
  <dc:creator>BGT_DZS</dc:creator>
  <cp:lastModifiedBy>lenovo</cp:lastModifiedBy>
  <cp:lastPrinted>2017-05-03T09:56:00Z</cp:lastPrinted>
  <dcterms:modified xsi:type="dcterms:W3CDTF">2017-05-04T07:48:33Z</dcterms:modified>
  <dc:title>国科〔2013〕号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