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23" w:rsidRDefault="00AE7C9B" w:rsidP="00CE3D23">
      <w:pPr>
        <w:jc w:val="center"/>
        <w:rPr>
          <w:rFonts w:ascii="仿宋" w:eastAsia="仿宋" w:hAnsi="仿宋"/>
          <w:b/>
          <w:bCs/>
          <w:sz w:val="36"/>
          <w:szCs w:val="36"/>
        </w:rPr>
      </w:pPr>
      <w:bookmarkStart w:id="0" w:name="_GoBack"/>
      <w:r w:rsidRPr="00AE5FD8">
        <w:rPr>
          <w:rFonts w:ascii="仿宋" w:eastAsia="仿宋" w:hAnsi="仿宋" w:hint="eastAsia"/>
          <w:b/>
          <w:bCs/>
          <w:sz w:val="36"/>
          <w:szCs w:val="36"/>
        </w:rPr>
        <w:t>中山医学院实验室安全</w:t>
      </w:r>
      <w:r w:rsidR="00927514">
        <w:rPr>
          <w:rFonts w:ascii="仿宋" w:eastAsia="仿宋" w:hAnsi="仿宋" w:hint="eastAsia"/>
          <w:b/>
          <w:bCs/>
          <w:sz w:val="36"/>
          <w:szCs w:val="36"/>
        </w:rPr>
        <w:t>自查/</w:t>
      </w:r>
      <w:r w:rsidRPr="00AE5FD8">
        <w:rPr>
          <w:rFonts w:ascii="仿宋" w:eastAsia="仿宋" w:hAnsi="仿宋" w:hint="eastAsia"/>
          <w:b/>
          <w:bCs/>
          <w:sz w:val="36"/>
          <w:szCs w:val="36"/>
        </w:rPr>
        <w:t>检查</w:t>
      </w:r>
      <w:r w:rsidR="007802B9" w:rsidRPr="00AE5FD8">
        <w:rPr>
          <w:rFonts w:ascii="仿宋" w:eastAsia="仿宋" w:hAnsi="仿宋" w:hint="eastAsia"/>
          <w:b/>
          <w:bCs/>
          <w:sz w:val="36"/>
          <w:szCs w:val="36"/>
        </w:rPr>
        <w:t>评分表</w:t>
      </w:r>
    </w:p>
    <w:bookmarkEnd w:id="0"/>
    <w:p w:rsidR="00CE3D23" w:rsidRPr="000F0A4E" w:rsidRDefault="00C2772F" w:rsidP="00CE3D23">
      <w:pPr>
        <w:jc w:val="left"/>
        <w:rPr>
          <w:rFonts w:ascii="仿宋" w:eastAsia="仿宋" w:hAnsi="仿宋"/>
          <w:b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实验室</w:t>
      </w:r>
      <w:r>
        <w:rPr>
          <w:rFonts w:ascii="仿宋" w:eastAsia="仿宋" w:hAnsi="仿宋"/>
          <w:b/>
          <w:bCs/>
          <w:sz w:val="32"/>
          <w:szCs w:val="32"/>
        </w:rPr>
        <w:t>名称：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b/>
          <w:bCs/>
          <w:sz w:val="32"/>
          <w:szCs w:val="32"/>
          <w:u w:val="single"/>
        </w:rPr>
        <w:t xml:space="preserve">  </w:t>
      </w:r>
      <w:r w:rsidR="00745BE5">
        <w:rPr>
          <w:rFonts w:ascii="仿宋" w:eastAsia="仿宋" w:hAnsi="仿宋"/>
          <w:b/>
          <w:bCs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b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  </w:t>
      </w:r>
      <w:r w:rsidRPr="000F0A4E">
        <w:rPr>
          <w:rFonts w:ascii="仿宋" w:eastAsia="仿宋" w:hAnsi="仿宋" w:hint="eastAsia"/>
          <w:b/>
          <w:bCs/>
          <w:sz w:val="32"/>
          <w:szCs w:val="32"/>
        </w:rPr>
        <w:t>实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</w:rPr>
        <w:t>验室</w:t>
      </w:r>
      <w:r w:rsidR="00CE3D23" w:rsidRPr="000F0A4E">
        <w:rPr>
          <w:rFonts w:ascii="仿宋" w:eastAsia="仿宋" w:hAnsi="仿宋"/>
          <w:b/>
          <w:bCs/>
          <w:sz w:val="32"/>
          <w:szCs w:val="32"/>
        </w:rPr>
        <w:t>房间号：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 </w:t>
      </w:r>
      <w:r w:rsid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 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</w:t>
      </w:r>
      <w:r w:rsidR="00CE3D23" w:rsidRP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    </w:t>
      </w:r>
      <w:r w:rsidR="000F0A4E" w:rsidRP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</w:t>
      </w:r>
      <w:r w:rsidR="000F0A4E">
        <w:rPr>
          <w:rFonts w:ascii="仿宋" w:eastAsia="仿宋" w:hAnsi="仿宋" w:hint="eastAsia"/>
          <w:b/>
          <w:bCs/>
          <w:sz w:val="32"/>
          <w:szCs w:val="32"/>
        </w:rPr>
        <w:t xml:space="preserve">   </w:t>
      </w:r>
      <w:r w:rsidR="000F0A4E" w:rsidRPr="000F0A4E">
        <w:rPr>
          <w:rFonts w:ascii="仿宋" w:eastAsia="仿宋" w:hAnsi="仿宋" w:hint="eastAsia"/>
          <w:b/>
          <w:bCs/>
          <w:sz w:val="32"/>
          <w:szCs w:val="32"/>
        </w:rPr>
        <w:t>实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</w:rPr>
        <w:t>验室</w:t>
      </w:r>
      <w:r w:rsidR="00CE3D23" w:rsidRPr="000F0A4E">
        <w:rPr>
          <w:rFonts w:ascii="仿宋" w:eastAsia="仿宋" w:hAnsi="仿宋"/>
          <w:b/>
          <w:bCs/>
          <w:sz w:val="32"/>
          <w:szCs w:val="32"/>
        </w:rPr>
        <w:t>责任人：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</w:t>
      </w:r>
      <w:r w:rsid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  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</w:t>
      </w:r>
      <w:r w:rsidR="000F0A4E" w:rsidRP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  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</w:t>
      </w:r>
    </w:p>
    <w:tbl>
      <w:tblPr>
        <w:tblW w:w="15877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505"/>
        <w:gridCol w:w="709"/>
        <w:gridCol w:w="851"/>
        <w:gridCol w:w="850"/>
        <w:gridCol w:w="851"/>
        <w:gridCol w:w="850"/>
        <w:gridCol w:w="851"/>
        <w:gridCol w:w="992"/>
      </w:tblGrid>
      <w:tr w:rsidR="00F96E24" w:rsidRPr="0001077B" w:rsidTr="00334F60">
        <w:trPr>
          <w:trHeight w:val="3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6E24" w:rsidRPr="0001077B" w:rsidRDefault="00F96E24" w:rsidP="00CE20F2">
            <w:pPr>
              <w:snapToGrid w:val="0"/>
              <w:spacing w:line="480" w:lineRule="auto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检查项目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6E24" w:rsidRPr="0001077B" w:rsidRDefault="00F96E24" w:rsidP="00CE20F2">
            <w:pPr>
              <w:snapToGrid w:val="0"/>
              <w:spacing w:line="480" w:lineRule="auto"/>
              <w:jc w:val="center"/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检查重点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24" w:rsidRPr="0001077B" w:rsidRDefault="00F96E24" w:rsidP="00F96E24">
            <w:pPr>
              <w:widowControl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实验室安全检查项目得分（各项检查项目评分等级为</w:t>
            </w:r>
            <w:r w:rsidRPr="0001077B">
              <w:rPr>
                <w:rFonts w:ascii="华文仿宋" w:eastAsia="华文仿宋" w:hAnsi="华文仿宋"/>
                <w:b/>
                <w:bCs/>
                <w:sz w:val="24"/>
                <w:szCs w:val="24"/>
              </w:rPr>
              <w:t>）</w:t>
            </w: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40" w:lineRule="exact"/>
              <w:jc w:val="left"/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5分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4分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3分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2分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1分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05312E" w:rsidP="00602D12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安全制度执行、安全教育培训记录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1D765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实验室安全管理制度上墙</w:t>
            </w:r>
            <w:r w:rsidR="001D7650">
              <w:rPr>
                <w:rFonts w:ascii="华文仿宋" w:eastAsia="华文仿宋" w:hAnsi="华文仿宋" w:hint="eastAsia"/>
                <w:sz w:val="24"/>
                <w:szCs w:val="24"/>
              </w:rPr>
              <w:t>；</w:t>
            </w:r>
            <w:r w:rsidR="001D7650" w:rsidRPr="0001077B">
              <w:rPr>
                <w:rFonts w:ascii="华文仿宋" w:eastAsia="华文仿宋" w:hAnsi="华文仿宋" w:hint="eastAsia"/>
                <w:sz w:val="24"/>
                <w:szCs w:val="24"/>
              </w:rPr>
              <w:t>有实验操作规程。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有值班值日制度、</w:t>
            </w:r>
            <w:r w:rsidRPr="0001077B">
              <w:rPr>
                <w:rFonts w:ascii="华文仿宋" w:eastAsia="华文仿宋" w:hAnsi="华文仿宋"/>
                <w:sz w:val="24"/>
                <w:szCs w:val="24"/>
              </w:rPr>
              <w:t>记录</w:t>
            </w:r>
            <w:r w:rsidR="0095117C">
              <w:rPr>
                <w:rFonts w:ascii="华文仿宋" w:eastAsia="华文仿宋" w:hAnsi="华文仿宋" w:hint="eastAsia"/>
                <w:sz w:val="24"/>
                <w:szCs w:val="24"/>
              </w:rPr>
              <w:t>；</w:t>
            </w:r>
            <w:r w:rsidR="0095117C" w:rsidRPr="0001077B">
              <w:rPr>
                <w:rFonts w:ascii="华文仿宋" w:eastAsia="华文仿宋" w:hAnsi="华文仿宋" w:hint="eastAsia"/>
                <w:sz w:val="24"/>
                <w:szCs w:val="24"/>
              </w:rPr>
              <w:t>实验室开展安全检查、自查有记录。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有应急预案，并开展安全应急演练。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有安全教育和培训的记录，并存档。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消防安全与应急设施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消防通道通畅</w:t>
            </w:r>
            <w:r w:rsidR="001D7650">
              <w:rPr>
                <w:rFonts w:ascii="华文仿宋" w:eastAsia="华文仿宋" w:hAnsi="华文仿宋" w:hint="eastAsia"/>
                <w:sz w:val="24"/>
                <w:szCs w:val="24"/>
              </w:rPr>
              <w:t>；</w:t>
            </w:r>
            <w:r w:rsidR="001D7650" w:rsidRPr="0001077B">
              <w:rPr>
                <w:rFonts w:ascii="华文仿宋" w:eastAsia="华文仿宋" w:hAnsi="华文仿宋" w:hint="eastAsia"/>
                <w:sz w:val="24"/>
                <w:szCs w:val="24"/>
              </w:rPr>
              <w:t>紧急照明系统良好</w:t>
            </w:r>
            <w:r w:rsidR="0095117C">
              <w:rPr>
                <w:rFonts w:ascii="华文仿宋" w:eastAsia="华文仿宋" w:hAnsi="华文仿宋" w:hint="eastAsia"/>
                <w:sz w:val="24"/>
                <w:szCs w:val="24"/>
              </w:rPr>
              <w:t>；</w:t>
            </w:r>
            <w:r w:rsidR="0095117C" w:rsidRPr="0001077B">
              <w:rPr>
                <w:rFonts w:ascii="华文仿宋" w:eastAsia="华文仿宋" w:hAnsi="华文仿宋" w:hint="eastAsia"/>
                <w:sz w:val="24"/>
                <w:szCs w:val="24"/>
              </w:rPr>
              <w:t>不安装铁栅栏门（特殊情况除外）</w:t>
            </w:r>
            <w:r w:rsidR="0095117C">
              <w:rPr>
                <w:rFonts w:ascii="华文仿宋" w:eastAsia="华文仿宋" w:hAnsi="华文仿宋" w:hint="eastAsia"/>
                <w:sz w:val="24"/>
                <w:szCs w:val="24"/>
              </w:rPr>
              <w:t>，</w:t>
            </w:r>
            <w:r w:rsidR="0095117C" w:rsidRPr="0001077B">
              <w:rPr>
                <w:rFonts w:ascii="华文仿宋" w:eastAsia="华文仿宋" w:hAnsi="华文仿宋" w:hint="eastAsia"/>
                <w:sz w:val="24"/>
                <w:szCs w:val="24"/>
              </w:rPr>
              <w:t>除一楼外不安装防盗窗（特殊情况除外）</w:t>
            </w:r>
            <w:r w:rsidR="0095117C">
              <w:rPr>
                <w:rFonts w:ascii="华文仿宋" w:eastAsia="华文仿宋" w:hAnsi="华文仿宋" w:hint="eastAsia"/>
                <w:sz w:val="24"/>
                <w:szCs w:val="24"/>
              </w:rPr>
              <w:t>；</w:t>
            </w:r>
            <w:r w:rsidR="0095117C" w:rsidRPr="0001077B">
              <w:rPr>
                <w:rFonts w:ascii="华文仿宋" w:eastAsia="华文仿宋" w:hAnsi="华文仿宋" w:hint="eastAsia"/>
                <w:sz w:val="24"/>
                <w:szCs w:val="24"/>
              </w:rPr>
              <w:t>重点部位有防盗、监控设施。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配置消防器材，无灭火器过期现象，摆放位置利于取用。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化学和生物类实验室有应急喷淋装置和洗眼装置。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spacing w:line="252" w:lineRule="auto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环境卫生安全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实验室配有急救药箱。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实验室物品摆放整洁有序，卫生状况良好。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无</w:t>
            </w:r>
            <w:r w:rsidR="00A325B3">
              <w:rPr>
                <w:rFonts w:ascii="华文仿宋" w:eastAsia="华文仿宋" w:hAnsi="华文仿宋" w:hint="eastAsia"/>
                <w:sz w:val="24"/>
                <w:szCs w:val="24"/>
              </w:rPr>
              <w:t>废弃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物品（如纸板箱、报废设备、家具）。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实验室内不放无关物品，如电动车、自行车等。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不在实验室内睡觉过夜</w:t>
            </w:r>
            <w:r w:rsidR="0095117C">
              <w:rPr>
                <w:rFonts w:ascii="华文仿宋" w:eastAsia="华文仿宋" w:hAnsi="华文仿宋" w:hint="eastAsia"/>
                <w:sz w:val="24"/>
                <w:szCs w:val="24"/>
              </w:rPr>
              <w:t>；</w:t>
            </w:r>
            <w:r w:rsidR="0095117C" w:rsidRPr="0001077B">
              <w:rPr>
                <w:rFonts w:ascii="华文仿宋" w:eastAsia="华文仿宋" w:hAnsi="华文仿宋" w:hint="eastAsia"/>
                <w:sz w:val="24"/>
                <w:szCs w:val="24"/>
              </w:rPr>
              <w:t>实验室内无吸烟</w:t>
            </w:r>
            <w:r w:rsidR="0095117C">
              <w:rPr>
                <w:rFonts w:ascii="华文仿宋" w:eastAsia="华文仿宋" w:hAnsi="华文仿宋" w:hint="eastAsia"/>
                <w:sz w:val="24"/>
                <w:szCs w:val="24"/>
              </w:rPr>
              <w:t>，</w:t>
            </w:r>
            <w:r w:rsidR="0095117C" w:rsidRPr="0001077B">
              <w:rPr>
                <w:rFonts w:ascii="华文仿宋" w:eastAsia="华文仿宋" w:hAnsi="华文仿宋" w:hint="eastAsia"/>
                <w:sz w:val="24"/>
                <w:szCs w:val="24"/>
              </w:rPr>
              <w:t>不烧煮食物、饮食。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水、电使用安全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无插头插座不匹配或私自改装的现象。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无乱拉电线，</w:t>
            </w:r>
            <w:r w:rsidRPr="0001077B">
              <w:rPr>
                <w:rFonts w:ascii="华文仿宋" w:eastAsia="华文仿宋" w:hAnsi="华文仿宋"/>
                <w:sz w:val="24"/>
                <w:szCs w:val="24"/>
              </w:rPr>
              <w:t>多个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大功率电器共用一个接线板、</w:t>
            </w:r>
            <w:r w:rsidRPr="0001077B">
              <w:rPr>
                <w:rFonts w:ascii="华文仿宋" w:eastAsia="华文仿宋" w:hAnsi="华文仿宋"/>
                <w:sz w:val="24"/>
                <w:szCs w:val="24"/>
              </w:rPr>
              <w:t>多个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接线板串联、</w:t>
            </w:r>
            <w:r w:rsidRPr="0001077B">
              <w:rPr>
                <w:rFonts w:ascii="华文仿宋" w:eastAsia="华文仿宋" w:hAnsi="华文仿宋"/>
                <w:sz w:val="24"/>
                <w:szCs w:val="24"/>
              </w:rPr>
              <w:t>接线板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直接放置地面等违规用电现象。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不使用明火电炉。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下水道通畅，不存在水龙头、水管破损现象。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离开实验室时检查设备、水、电、气和门窗安全。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927514">
        <w:trPr>
          <w:trHeight w:val="11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lastRenderedPageBreak/>
              <w:t>仪器设备管理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仪器有操作规程</w:t>
            </w:r>
            <w:r w:rsidR="0095117C">
              <w:rPr>
                <w:rFonts w:ascii="华文仿宋" w:eastAsia="华文仿宋" w:hAnsi="华文仿宋" w:hint="eastAsia"/>
                <w:sz w:val="24"/>
                <w:szCs w:val="24"/>
              </w:rPr>
              <w:t>，</w:t>
            </w:r>
            <w:r w:rsidR="0095117C" w:rsidRPr="0001077B">
              <w:rPr>
                <w:rFonts w:ascii="华文仿宋" w:eastAsia="华文仿宋" w:hAnsi="华文仿宋" w:hint="eastAsia"/>
                <w:sz w:val="24"/>
                <w:szCs w:val="24"/>
              </w:rPr>
              <w:t>有运行、维护记录。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贵重设备有专人负责、有日常使用登记本。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特种设备（高温、电磁辐射、压力容器、高压灭菌锅）等有安全警示标识，</w:t>
            </w:r>
            <w:r w:rsidRPr="0001077B">
              <w:rPr>
                <w:rFonts w:ascii="华文仿宋" w:eastAsia="华文仿宋" w:hAnsi="华文仿宋"/>
                <w:sz w:val="24"/>
                <w:szCs w:val="24"/>
              </w:rPr>
              <w:t>并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附有操作规程，开机使用时有专人负责，</w:t>
            </w:r>
            <w:r w:rsidRPr="0001077B">
              <w:rPr>
                <w:rFonts w:ascii="华文仿宋" w:eastAsia="华文仿宋" w:hAnsi="华文仿宋"/>
                <w:sz w:val="24"/>
                <w:szCs w:val="24"/>
              </w:rPr>
              <w:t>定期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检测并建立档案。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冰箱管理：冰箱内存放物品必须标识明确（包含品名、使用人、日期等），并经常清理，冰箱内储存试剂必须密封好。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烘箱管理：不在烘箱等加热设备烘烤易燃易爆化学试剂、塑料等易燃物品，不存在堆放杂物，影响散热的现象，附近不存放气体钢瓶、易燃易爆化学品。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化学品、精神药品、生物危险品管理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6D2814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试剂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柜整齐清洁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，试剂瓶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标签清晰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，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无名物、变质物及时清除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，</w:t>
            </w:r>
            <w:r w:rsidRPr="006D2814">
              <w:rPr>
                <w:rFonts w:ascii="华文仿宋" w:eastAsia="华文仿宋" w:hAnsi="华文仿宋" w:hint="eastAsia"/>
                <w:sz w:val="24"/>
                <w:szCs w:val="24"/>
              </w:rPr>
              <w:t>所存放试剂建有台帐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实验室试剂分类有序摆放，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腐蚀性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试剂放在托盘等二次防漏容器中，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互相作用的化学品不能混放，必须隔离存放[如强酸与强碱、氧化剂与还原剂、固体与液体分开存放（如在同一试剂柜中，液体需放置在下层）]。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剧毒、精神药品按照“五双”（双人保管、双锁、双人收发、双人领取、双人使用）的标准管理。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AB70F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按照教学、科研计划使用危险药品、易燃易爆品，实验室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无过量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存放、叠放实验药品现象。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实验气体管理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FB6D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气瓶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有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专人管理，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实验室内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建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有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气瓶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使用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台账，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气瓶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颜色和字体清楚，有标识牌。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AB70F3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可燃性气体与氧气等助燃气体不混放，并粘贴禁止烟火标识。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3C75FE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易燃易爆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、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有毒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气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瓶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设置报警装置，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存放点通风、远离热源、火源。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95117C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气体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管路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材质选择合适，无破损或老化现象，连接管路连接正确，并时常检查。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95117C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实验结束后，气体钢瓶总阀关闭。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95117C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气体钢瓶已正确固定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；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无废旧气体钢瓶，无大量气体钢瓶堆放现象。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废弃物处置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配备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实验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废弃物分类容器。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对废弃物进行分类存放、包装（应避免易产生聚类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反应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的物品混放），并贴好标签，处置废气、废液、废物暂存点有危险标识。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残余、废弃的剧毒品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及其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空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试剂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瓶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按照“双人双锁”管理，按照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学校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要求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回收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处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lastRenderedPageBreak/>
              <w:t>置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B112D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无大量存放化学废弃物的现象，定时清运实验废弃物。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A325B3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生物废弃物放置在黄色垃圾袋中；</w:t>
            </w:r>
            <w:r w:rsidR="00602D12" w:rsidRPr="0001077B">
              <w:rPr>
                <w:rFonts w:ascii="华文仿宋" w:eastAsia="华文仿宋" w:hAnsi="华文仿宋" w:hint="eastAsia"/>
                <w:sz w:val="24"/>
                <w:szCs w:val="24"/>
              </w:rPr>
              <w:t>无实验废弃物和生活垃圾混放现象。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无向下水道倾倒废旧化学试剂现象。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锐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器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废弃物盛放在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硬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纸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盒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等不易被刺穿的容器中。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个人防护设施与其他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按需要佩戴防护眼镜（如进行化学实验，有危险的机械操作等）。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穿实验服或防护服</w:t>
            </w:r>
            <w:r w:rsidR="0095117C">
              <w:rPr>
                <w:rFonts w:ascii="华文仿宋" w:eastAsia="华文仿宋" w:hAnsi="华文仿宋" w:hint="eastAsia"/>
                <w:sz w:val="24"/>
                <w:szCs w:val="24"/>
              </w:rPr>
              <w:t>；</w:t>
            </w:r>
            <w:r w:rsidR="0095117C" w:rsidRPr="0001077B">
              <w:rPr>
                <w:rFonts w:ascii="华文仿宋" w:eastAsia="华文仿宋" w:hAnsi="华文仿宋" w:hint="eastAsia"/>
                <w:sz w:val="24"/>
                <w:szCs w:val="24"/>
              </w:rPr>
              <w:t>有规范</w:t>
            </w:r>
            <w:r w:rsidR="0095117C" w:rsidRPr="0001077B">
              <w:rPr>
                <w:rFonts w:ascii="华文仿宋" w:eastAsia="华文仿宋" w:hAnsi="华文仿宋"/>
                <w:sz w:val="24"/>
                <w:szCs w:val="24"/>
              </w:rPr>
              <w:t>的实验记录</w:t>
            </w:r>
            <w:r w:rsidR="0095117C" w:rsidRPr="0001077B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特殊场所需佩戴安全帽、防护帽、无长发飘散在外的现象。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按需要佩</w:t>
            </w:r>
            <w:r w:rsidRPr="0001077B">
              <w:rPr>
                <w:rFonts w:ascii="华文仿宋" w:eastAsia="华文仿宋" w:hAnsi="华文仿宋"/>
                <w:sz w:val="24"/>
                <w:szCs w:val="24"/>
              </w:rPr>
              <w:t>戴防护手套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（涉及</w:t>
            </w:r>
            <w:r w:rsidRPr="0001077B">
              <w:rPr>
                <w:rFonts w:ascii="华文仿宋" w:eastAsia="华文仿宋" w:hAnsi="华文仿宋"/>
                <w:sz w:val="24"/>
                <w:szCs w:val="24"/>
              </w:rPr>
              <w:t>不同的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有害</w:t>
            </w:r>
            <w:r w:rsidRPr="0001077B">
              <w:rPr>
                <w:rFonts w:ascii="华文仿宋" w:eastAsia="华文仿宋" w:hAnsi="华文仿宋"/>
                <w:sz w:val="24"/>
                <w:szCs w:val="24"/>
              </w:rPr>
              <w:t>化学物质、病原微生物、高温和低温等），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并</w:t>
            </w:r>
            <w:r w:rsidRPr="0001077B">
              <w:rPr>
                <w:rFonts w:ascii="华文仿宋" w:eastAsia="华文仿宋" w:hAnsi="华文仿宋"/>
                <w:sz w:val="24"/>
                <w:szCs w:val="24"/>
              </w:rPr>
              <w:t>正确选择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不同种类和</w:t>
            </w:r>
            <w:r w:rsidRPr="0001077B">
              <w:rPr>
                <w:rFonts w:ascii="华文仿宋" w:eastAsia="华文仿宋" w:hAnsi="华文仿宋"/>
                <w:sz w:val="24"/>
                <w:szCs w:val="24"/>
              </w:rPr>
              <w:t>材质的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手套。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/>
                <w:sz w:val="24"/>
                <w:szCs w:val="24"/>
              </w:rPr>
              <w:t>危险性实验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（如高温、高压、高速运转等）</w:t>
            </w:r>
            <w:r w:rsidRPr="0001077B">
              <w:rPr>
                <w:rFonts w:ascii="华文仿宋" w:eastAsia="华文仿宋" w:hAnsi="华文仿宋"/>
                <w:sz w:val="24"/>
                <w:szCs w:val="24"/>
              </w:rPr>
              <w:t>时必须有两人在场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/>
                <w:sz w:val="24"/>
                <w:szCs w:val="24"/>
              </w:rPr>
              <w:t>非实验区（如电梯、办公室、休息室、会议室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、餐厅</w:t>
            </w:r>
            <w:r w:rsidRPr="0001077B">
              <w:rPr>
                <w:rFonts w:ascii="华文仿宋" w:eastAsia="华文仿宋" w:hAnsi="华文仿宋"/>
                <w:sz w:val="24"/>
                <w:szCs w:val="24"/>
              </w:rPr>
              <w:t>等）无穿戴实验服、实验手套等现象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生物、辐射安全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开展辐射相关的实验须按规定在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通过环境影响评价并取得辐射安全许可的实验室中进行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，同时，放射性操作人员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须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经过培训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并取得合格证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，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实验时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佩戴个人剂量计，并按时进行剂量检测等。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开展病原微生物相关研究的实验，须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在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相应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等级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的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生物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安全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实验室进行，落实安全防护措施，</w:t>
            </w:r>
            <w:r w:rsidRPr="0001077B">
              <w:rPr>
                <w:rFonts w:ascii="华文仿宋" w:eastAsia="华文仿宋" w:hAnsi="华文仿宋" w:hint="eastAsia"/>
                <w:sz w:val="24"/>
                <w:szCs w:val="24"/>
              </w:rPr>
              <w:t>同时开展病原微生物相关实验和研究的人员经过专业培训，并取得相应的“证书”。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B01866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实验动物须在可提供《实验动物质量合格证明》的供应部门采购。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B01866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927514" w:rsidRPr="0001077B" w:rsidTr="00BE15B7">
        <w:trPr>
          <w:trHeight w:val="397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2D12" w:rsidRPr="0001077B" w:rsidRDefault="00602D12" w:rsidP="00CE20F2">
            <w:pPr>
              <w:snapToGrid w:val="0"/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D12" w:rsidRPr="0001077B" w:rsidRDefault="00602D12" w:rsidP="00B01866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动物实验在取得实验动物使用许可证的场所进行。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02D12" w:rsidRPr="0001077B" w:rsidRDefault="00602D12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DD7BC4" w:rsidRDefault="00DD7BC4" w:rsidP="00CE20F2">
      <w:pPr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备注</w:t>
      </w:r>
      <w:r>
        <w:rPr>
          <w:rFonts w:ascii="华文仿宋" w:eastAsia="华文仿宋" w:hAnsi="华文仿宋"/>
          <w:b/>
          <w:sz w:val="24"/>
          <w:szCs w:val="24"/>
        </w:rPr>
        <w:t>：</w:t>
      </w:r>
      <w:r w:rsidR="00C2772F" w:rsidRPr="0001077B">
        <w:rPr>
          <w:rFonts w:ascii="华文仿宋" w:eastAsia="华文仿宋" w:hAnsi="华文仿宋" w:hint="eastAsia"/>
          <w:b/>
          <w:bCs/>
          <w:sz w:val="24"/>
          <w:szCs w:val="24"/>
        </w:rPr>
        <w:t>实验室安全检查项目得分</w:t>
      </w:r>
      <w:r>
        <w:rPr>
          <w:rFonts w:ascii="华文仿宋" w:eastAsia="华文仿宋" w:hAnsi="华文仿宋" w:hint="eastAsia"/>
          <w:b/>
          <w:sz w:val="24"/>
          <w:szCs w:val="24"/>
        </w:rPr>
        <w:t>5分</w:t>
      </w:r>
      <w:r>
        <w:rPr>
          <w:rFonts w:ascii="华文仿宋" w:eastAsia="华文仿宋" w:hAnsi="华文仿宋"/>
          <w:b/>
          <w:sz w:val="24"/>
          <w:szCs w:val="24"/>
        </w:rPr>
        <w:t>为最高分，逐级递减</w:t>
      </w:r>
      <w:r w:rsidR="00C74E16">
        <w:rPr>
          <w:rFonts w:ascii="华文仿宋" w:eastAsia="华文仿宋" w:hAnsi="华文仿宋" w:hint="eastAsia"/>
          <w:b/>
          <w:sz w:val="24"/>
          <w:szCs w:val="24"/>
        </w:rPr>
        <w:t>。</w:t>
      </w:r>
    </w:p>
    <w:p w:rsidR="00AE7C9B" w:rsidRDefault="00A325B3" w:rsidP="00CE20F2">
      <w:pPr>
        <w:jc w:val="left"/>
        <w:rPr>
          <w:rFonts w:ascii="华文仿宋" w:eastAsia="华文仿宋" w:hAnsi="华文仿宋"/>
          <w:b/>
          <w:sz w:val="24"/>
          <w:szCs w:val="24"/>
        </w:rPr>
      </w:pPr>
      <w:r w:rsidRPr="00A325B3">
        <w:rPr>
          <w:rFonts w:ascii="华文仿宋" w:eastAsia="华文仿宋" w:hAnsi="华文仿宋" w:hint="eastAsia"/>
          <w:b/>
          <w:sz w:val="24"/>
          <w:szCs w:val="24"/>
        </w:rPr>
        <w:t>检查</w:t>
      </w:r>
      <w:r w:rsidRPr="00A325B3">
        <w:rPr>
          <w:rFonts w:ascii="华文仿宋" w:eastAsia="华文仿宋" w:hAnsi="华文仿宋"/>
          <w:b/>
          <w:sz w:val="24"/>
          <w:szCs w:val="24"/>
        </w:rPr>
        <w:t>员签字：</w:t>
      </w:r>
    </w:p>
    <w:p w:rsidR="00A325B3" w:rsidRPr="00A325B3" w:rsidRDefault="00A325B3" w:rsidP="00CE20F2">
      <w:pPr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检查</w:t>
      </w:r>
      <w:r>
        <w:rPr>
          <w:rFonts w:ascii="华文仿宋" w:eastAsia="华文仿宋" w:hAnsi="华文仿宋"/>
          <w:b/>
          <w:sz w:val="24"/>
          <w:szCs w:val="24"/>
        </w:rPr>
        <w:t>日期：</w:t>
      </w:r>
    </w:p>
    <w:sectPr w:rsidR="00A325B3" w:rsidRPr="00A325B3" w:rsidSect="00927514">
      <w:pgSz w:w="16838" w:h="11906" w:orient="landscape"/>
      <w:pgMar w:top="568" w:right="720" w:bottom="993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4E4" w:rsidRDefault="003274E4" w:rsidP="003C4224">
      <w:pPr>
        <w:rPr>
          <w:rFonts w:hint="eastAsia"/>
        </w:rPr>
      </w:pPr>
      <w:r>
        <w:separator/>
      </w:r>
    </w:p>
  </w:endnote>
  <w:endnote w:type="continuationSeparator" w:id="0">
    <w:p w:rsidR="003274E4" w:rsidRDefault="003274E4" w:rsidP="003C4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Times New Roman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4E4" w:rsidRDefault="003274E4" w:rsidP="003C4224">
      <w:pPr>
        <w:rPr>
          <w:rFonts w:hint="eastAsia"/>
        </w:rPr>
      </w:pPr>
      <w:r>
        <w:separator/>
      </w:r>
    </w:p>
  </w:footnote>
  <w:footnote w:type="continuationSeparator" w:id="0">
    <w:p w:rsidR="003274E4" w:rsidRDefault="003274E4" w:rsidP="003C422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C9B"/>
    <w:rsid w:val="0001077B"/>
    <w:rsid w:val="0001410C"/>
    <w:rsid w:val="00016EDB"/>
    <w:rsid w:val="00044470"/>
    <w:rsid w:val="0005312E"/>
    <w:rsid w:val="00080388"/>
    <w:rsid w:val="000F0A4E"/>
    <w:rsid w:val="00101092"/>
    <w:rsid w:val="00135168"/>
    <w:rsid w:val="00143CBF"/>
    <w:rsid w:val="001503FD"/>
    <w:rsid w:val="00172208"/>
    <w:rsid w:val="00180B59"/>
    <w:rsid w:val="00184F1E"/>
    <w:rsid w:val="001961A9"/>
    <w:rsid w:val="001D0C74"/>
    <w:rsid w:val="001D7650"/>
    <w:rsid w:val="00204950"/>
    <w:rsid w:val="00216808"/>
    <w:rsid w:val="00243ED3"/>
    <w:rsid w:val="002674F1"/>
    <w:rsid w:val="002865BB"/>
    <w:rsid w:val="002871FE"/>
    <w:rsid w:val="002B171E"/>
    <w:rsid w:val="002C70A1"/>
    <w:rsid w:val="002D0AE1"/>
    <w:rsid w:val="002F405C"/>
    <w:rsid w:val="002F603F"/>
    <w:rsid w:val="00314231"/>
    <w:rsid w:val="00325FAC"/>
    <w:rsid w:val="003274E4"/>
    <w:rsid w:val="0033031D"/>
    <w:rsid w:val="00334F60"/>
    <w:rsid w:val="0033610C"/>
    <w:rsid w:val="003471E9"/>
    <w:rsid w:val="003759F5"/>
    <w:rsid w:val="003761DE"/>
    <w:rsid w:val="00392438"/>
    <w:rsid w:val="003B13CE"/>
    <w:rsid w:val="003C4224"/>
    <w:rsid w:val="003C75FE"/>
    <w:rsid w:val="00442D09"/>
    <w:rsid w:val="00450666"/>
    <w:rsid w:val="00450868"/>
    <w:rsid w:val="00463D0F"/>
    <w:rsid w:val="004932AA"/>
    <w:rsid w:val="004E6711"/>
    <w:rsid w:val="00521247"/>
    <w:rsid w:val="0052720B"/>
    <w:rsid w:val="00572DC3"/>
    <w:rsid w:val="005C0585"/>
    <w:rsid w:val="005C6474"/>
    <w:rsid w:val="005D73DA"/>
    <w:rsid w:val="005F69E3"/>
    <w:rsid w:val="006016E0"/>
    <w:rsid w:val="00602D12"/>
    <w:rsid w:val="00625FC6"/>
    <w:rsid w:val="0064619C"/>
    <w:rsid w:val="00652EE0"/>
    <w:rsid w:val="00682DCE"/>
    <w:rsid w:val="006959CF"/>
    <w:rsid w:val="006D2814"/>
    <w:rsid w:val="006D5D0A"/>
    <w:rsid w:val="006F2642"/>
    <w:rsid w:val="006F2BB8"/>
    <w:rsid w:val="00717A0C"/>
    <w:rsid w:val="00744E18"/>
    <w:rsid w:val="00745BE5"/>
    <w:rsid w:val="007802B9"/>
    <w:rsid w:val="007D1A7A"/>
    <w:rsid w:val="007D320D"/>
    <w:rsid w:val="0082683E"/>
    <w:rsid w:val="008324F3"/>
    <w:rsid w:val="00860126"/>
    <w:rsid w:val="0086512C"/>
    <w:rsid w:val="00872853"/>
    <w:rsid w:val="0087566D"/>
    <w:rsid w:val="00881559"/>
    <w:rsid w:val="00882731"/>
    <w:rsid w:val="00885526"/>
    <w:rsid w:val="008C5613"/>
    <w:rsid w:val="008C5629"/>
    <w:rsid w:val="008C6B78"/>
    <w:rsid w:val="008D02A1"/>
    <w:rsid w:val="008E4DD9"/>
    <w:rsid w:val="009055E2"/>
    <w:rsid w:val="009128BC"/>
    <w:rsid w:val="009245D0"/>
    <w:rsid w:val="00927514"/>
    <w:rsid w:val="00941BBB"/>
    <w:rsid w:val="0095117C"/>
    <w:rsid w:val="00953873"/>
    <w:rsid w:val="00957F2C"/>
    <w:rsid w:val="00960666"/>
    <w:rsid w:val="00961DC9"/>
    <w:rsid w:val="00971477"/>
    <w:rsid w:val="0098055F"/>
    <w:rsid w:val="00981DBA"/>
    <w:rsid w:val="009979E2"/>
    <w:rsid w:val="009A117E"/>
    <w:rsid w:val="009A5871"/>
    <w:rsid w:val="009B4208"/>
    <w:rsid w:val="009C7929"/>
    <w:rsid w:val="00A04F55"/>
    <w:rsid w:val="00A325B3"/>
    <w:rsid w:val="00A53F61"/>
    <w:rsid w:val="00A772BE"/>
    <w:rsid w:val="00AA702B"/>
    <w:rsid w:val="00AB2561"/>
    <w:rsid w:val="00AB70F3"/>
    <w:rsid w:val="00AB7EEE"/>
    <w:rsid w:val="00AC183F"/>
    <w:rsid w:val="00AC64D5"/>
    <w:rsid w:val="00AD6C58"/>
    <w:rsid w:val="00AE33C0"/>
    <w:rsid w:val="00AE5FD8"/>
    <w:rsid w:val="00AE7C9B"/>
    <w:rsid w:val="00B01866"/>
    <w:rsid w:val="00B110A4"/>
    <w:rsid w:val="00B112D0"/>
    <w:rsid w:val="00B36CA3"/>
    <w:rsid w:val="00B62193"/>
    <w:rsid w:val="00B87474"/>
    <w:rsid w:val="00B965B1"/>
    <w:rsid w:val="00BE15B7"/>
    <w:rsid w:val="00BF66CD"/>
    <w:rsid w:val="00C13DD7"/>
    <w:rsid w:val="00C2772F"/>
    <w:rsid w:val="00C3624D"/>
    <w:rsid w:val="00C52BD1"/>
    <w:rsid w:val="00C64199"/>
    <w:rsid w:val="00C7281A"/>
    <w:rsid w:val="00C74E16"/>
    <w:rsid w:val="00C831E4"/>
    <w:rsid w:val="00C862CA"/>
    <w:rsid w:val="00CA032B"/>
    <w:rsid w:val="00CE20F2"/>
    <w:rsid w:val="00CE3D23"/>
    <w:rsid w:val="00CE76A6"/>
    <w:rsid w:val="00CE7C03"/>
    <w:rsid w:val="00CF65BF"/>
    <w:rsid w:val="00D20B70"/>
    <w:rsid w:val="00D22B4A"/>
    <w:rsid w:val="00D33186"/>
    <w:rsid w:val="00D46743"/>
    <w:rsid w:val="00D82485"/>
    <w:rsid w:val="00D92969"/>
    <w:rsid w:val="00DA0EA0"/>
    <w:rsid w:val="00DA751E"/>
    <w:rsid w:val="00DB64AA"/>
    <w:rsid w:val="00DB6656"/>
    <w:rsid w:val="00DC1ED2"/>
    <w:rsid w:val="00DD0F80"/>
    <w:rsid w:val="00DD5FB3"/>
    <w:rsid w:val="00DD7BC4"/>
    <w:rsid w:val="00DF0DC4"/>
    <w:rsid w:val="00E151AD"/>
    <w:rsid w:val="00E215C9"/>
    <w:rsid w:val="00E90DAF"/>
    <w:rsid w:val="00EB25BE"/>
    <w:rsid w:val="00EB3B5B"/>
    <w:rsid w:val="00EB59DC"/>
    <w:rsid w:val="00ED726D"/>
    <w:rsid w:val="00F36238"/>
    <w:rsid w:val="00F635F5"/>
    <w:rsid w:val="00F66F98"/>
    <w:rsid w:val="00F837DD"/>
    <w:rsid w:val="00F848C8"/>
    <w:rsid w:val="00F8589E"/>
    <w:rsid w:val="00F95833"/>
    <w:rsid w:val="00F96E24"/>
    <w:rsid w:val="00FB6DF2"/>
    <w:rsid w:val="00FC108D"/>
    <w:rsid w:val="00FC52BC"/>
    <w:rsid w:val="00F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B61D15-C1AF-48D6-8134-338D50BA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E7C9B"/>
    <w:pPr>
      <w:spacing w:before="100" w:beforeAutospacing="1" w:after="100" w:afterAutospacing="1"/>
    </w:pPr>
    <w:rPr>
      <w:rFonts w:ascii="宋体" w:eastAsia="宋体" w:hAnsi="宋体" w:cs="Times New Roman"/>
      <w:sz w:val="28"/>
      <w:szCs w:val="28"/>
    </w:rPr>
  </w:style>
  <w:style w:type="character" w:customStyle="1" w:styleId="Char">
    <w:name w:val="正文文本 Char"/>
    <w:basedOn w:val="a0"/>
    <w:link w:val="a3"/>
    <w:rsid w:val="00AE7C9B"/>
    <w:rPr>
      <w:rFonts w:ascii="宋体" w:eastAsia="宋体" w:hAnsi="宋体" w:cs="Times New Roman"/>
      <w:sz w:val="28"/>
      <w:szCs w:val="28"/>
    </w:rPr>
  </w:style>
  <w:style w:type="paragraph" w:styleId="a4">
    <w:name w:val="header"/>
    <w:basedOn w:val="a"/>
    <w:link w:val="Char0"/>
    <w:uiPriority w:val="99"/>
    <w:unhideWhenUsed/>
    <w:rsid w:val="003C4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C422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C4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C4224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6D5D0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D5D0A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180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E8A2-275E-44BE-B4D0-CED02272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3</Pages>
  <Words>355</Words>
  <Characters>2026</Characters>
  <Application>Microsoft Office Word</Application>
  <DocSecurity>0</DocSecurity>
  <Lines>16</Lines>
  <Paragraphs>4</Paragraphs>
  <ScaleCrop>false</ScaleCrop>
  <Company>中山医学院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</dc:creator>
  <cp:keywords/>
  <dc:description/>
  <cp:lastModifiedBy>Win7</cp:lastModifiedBy>
  <cp:revision>40</cp:revision>
  <cp:lastPrinted>2015-12-21T10:12:00Z</cp:lastPrinted>
  <dcterms:created xsi:type="dcterms:W3CDTF">2015-12-17T09:54:00Z</dcterms:created>
  <dcterms:modified xsi:type="dcterms:W3CDTF">2016-03-22T09:19:00Z</dcterms:modified>
</cp:coreProperties>
</file>