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F4" w:rsidRDefault="008D7F00">
      <w:pPr>
        <w:spacing w:line="360" w:lineRule="auto"/>
        <w:jc w:val="left"/>
        <w:rPr>
          <w:rFonts w:ascii="华文仿宋" w:eastAsia="华文仿宋" w:hAnsi="华文仿宋" w:cs="华文仿宋"/>
          <w:b/>
          <w:sz w:val="32"/>
        </w:rPr>
      </w:pPr>
      <w:r>
        <w:rPr>
          <w:rFonts w:ascii="华文仿宋" w:eastAsia="华文仿宋" w:hAnsi="华文仿宋" w:cs="华文仿宋" w:hint="eastAsia"/>
          <w:b/>
          <w:sz w:val="32"/>
        </w:rPr>
        <w:t>附件3：</w:t>
      </w:r>
    </w:p>
    <w:p w:rsidR="00D366F4" w:rsidRDefault="008D7F00">
      <w:pPr>
        <w:spacing w:line="360" w:lineRule="auto"/>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《2018年高等学校实验室安全检查项目表》</w:t>
      </w:r>
    </w:p>
    <w:p w:rsidR="00D366F4" w:rsidRDefault="008D7F00">
      <w:pPr>
        <w:spacing w:line="360" w:lineRule="auto"/>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条款分级及检查结果分级方案</w:t>
      </w:r>
    </w:p>
    <w:p w:rsidR="00D366F4" w:rsidRDefault="008D7F00" w:rsidP="008D7F00">
      <w:pPr>
        <w:spacing w:beforeLines="50" w:before="156" w:line="500" w:lineRule="exact"/>
        <w:ind w:firstLineChars="200" w:firstLine="560"/>
        <w:rPr>
          <w:rFonts w:ascii="仿宋" w:eastAsia="仿宋" w:hAnsi="仿宋"/>
          <w:sz w:val="28"/>
          <w:szCs w:val="24"/>
        </w:rPr>
      </w:pPr>
      <w:r>
        <w:rPr>
          <w:rFonts w:ascii="仿宋" w:eastAsia="仿宋" w:hAnsi="仿宋" w:hint="eastAsia"/>
          <w:sz w:val="28"/>
          <w:szCs w:val="24"/>
        </w:rPr>
        <w:t>为了提升</w:t>
      </w:r>
      <w:r>
        <w:rPr>
          <w:rFonts w:ascii="仿宋" w:eastAsia="仿宋" w:hAnsi="仿宋"/>
          <w:sz w:val="28"/>
          <w:szCs w:val="24"/>
        </w:rPr>
        <w:t>实验室安全检查的严肃性</w:t>
      </w:r>
      <w:r>
        <w:rPr>
          <w:rFonts w:ascii="仿宋" w:eastAsia="仿宋" w:hAnsi="仿宋" w:hint="eastAsia"/>
          <w:sz w:val="28"/>
          <w:szCs w:val="24"/>
        </w:rPr>
        <w:t>和</w:t>
      </w:r>
      <w:r>
        <w:rPr>
          <w:rFonts w:ascii="仿宋" w:eastAsia="仿宋" w:hAnsi="仿宋"/>
          <w:sz w:val="28"/>
          <w:szCs w:val="24"/>
        </w:rPr>
        <w:t>有效性</w:t>
      </w:r>
      <w:r>
        <w:rPr>
          <w:rFonts w:ascii="仿宋" w:eastAsia="仿宋" w:hAnsi="仿宋" w:hint="eastAsia"/>
          <w:sz w:val="28"/>
          <w:szCs w:val="24"/>
        </w:rPr>
        <w:t>，扎扎实实</w:t>
      </w:r>
      <w:r>
        <w:rPr>
          <w:rFonts w:ascii="仿宋" w:eastAsia="仿宋" w:hAnsi="仿宋"/>
          <w:sz w:val="28"/>
          <w:szCs w:val="24"/>
        </w:rPr>
        <w:t>推进高校</w:t>
      </w:r>
      <w:r>
        <w:rPr>
          <w:rFonts w:ascii="仿宋" w:eastAsia="仿宋" w:hAnsi="仿宋" w:hint="eastAsia"/>
          <w:sz w:val="28"/>
          <w:szCs w:val="24"/>
        </w:rPr>
        <w:t>实验室</w:t>
      </w:r>
      <w:r>
        <w:rPr>
          <w:rFonts w:ascii="仿宋" w:eastAsia="仿宋" w:hAnsi="仿宋"/>
          <w:sz w:val="28"/>
          <w:szCs w:val="24"/>
        </w:rPr>
        <w:t>安全</w:t>
      </w:r>
      <w:r>
        <w:rPr>
          <w:rFonts w:ascii="仿宋" w:eastAsia="仿宋" w:hAnsi="仿宋" w:hint="eastAsia"/>
          <w:sz w:val="28"/>
          <w:szCs w:val="24"/>
        </w:rPr>
        <w:t>管理</w:t>
      </w:r>
      <w:r>
        <w:rPr>
          <w:rFonts w:ascii="仿宋" w:eastAsia="仿宋" w:hAnsi="仿宋"/>
          <w:sz w:val="28"/>
          <w:szCs w:val="24"/>
        </w:rPr>
        <w:t>和预防工作</w:t>
      </w:r>
      <w:r>
        <w:rPr>
          <w:rFonts w:ascii="仿宋" w:eastAsia="仿宋" w:hAnsi="仿宋" w:hint="eastAsia"/>
          <w:sz w:val="28"/>
          <w:szCs w:val="24"/>
        </w:rPr>
        <w:t>，对检查条款和</w:t>
      </w:r>
      <w:r>
        <w:rPr>
          <w:rFonts w:ascii="仿宋" w:eastAsia="仿宋" w:hAnsi="仿宋"/>
          <w:sz w:val="28"/>
          <w:szCs w:val="24"/>
        </w:rPr>
        <w:t>检查结果</w:t>
      </w:r>
      <w:r>
        <w:rPr>
          <w:rFonts w:ascii="仿宋" w:eastAsia="仿宋" w:hAnsi="仿宋" w:hint="eastAsia"/>
          <w:sz w:val="28"/>
          <w:szCs w:val="24"/>
        </w:rPr>
        <w:t>进行了分级</w:t>
      </w:r>
      <w:r>
        <w:rPr>
          <w:rFonts w:ascii="仿宋" w:eastAsia="仿宋" w:hAnsi="仿宋"/>
          <w:sz w:val="28"/>
          <w:szCs w:val="24"/>
        </w:rPr>
        <w:t>。</w:t>
      </w:r>
    </w:p>
    <w:p w:rsidR="00D366F4" w:rsidRDefault="008D7F00" w:rsidP="008D7F00">
      <w:pPr>
        <w:spacing w:beforeLines="50" w:before="156" w:line="500" w:lineRule="exact"/>
        <w:ind w:firstLineChars="200" w:firstLine="602"/>
        <w:jc w:val="left"/>
        <w:rPr>
          <w:rFonts w:ascii="仿宋" w:eastAsia="仿宋" w:hAnsi="仿宋"/>
          <w:b/>
          <w:sz w:val="30"/>
          <w:szCs w:val="30"/>
        </w:rPr>
      </w:pPr>
      <w:r>
        <w:rPr>
          <w:rFonts w:ascii="仿宋" w:eastAsia="仿宋" w:hAnsi="仿宋" w:hint="eastAsia"/>
          <w:b/>
          <w:sz w:val="30"/>
          <w:szCs w:val="30"/>
        </w:rPr>
        <w:t>1.安全</w:t>
      </w:r>
      <w:r>
        <w:rPr>
          <w:rFonts w:ascii="仿宋" w:eastAsia="仿宋" w:hAnsi="仿宋"/>
          <w:b/>
          <w:sz w:val="30"/>
          <w:szCs w:val="30"/>
        </w:rPr>
        <w:t>检查</w:t>
      </w:r>
      <w:r>
        <w:rPr>
          <w:rFonts w:ascii="仿宋" w:eastAsia="仿宋" w:hAnsi="仿宋" w:hint="eastAsia"/>
          <w:b/>
          <w:sz w:val="30"/>
          <w:szCs w:val="30"/>
        </w:rPr>
        <w:t>条款分级</w:t>
      </w:r>
    </w:p>
    <w:p w:rsidR="00D366F4" w:rsidRPr="007B5828" w:rsidRDefault="008D7F00" w:rsidP="007B5828">
      <w:pPr>
        <w:spacing w:line="500" w:lineRule="exact"/>
        <w:ind w:firstLineChars="200" w:firstLine="560"/>
        <w:jc w:val="left"/>
        <w:rPr>
          <w:rFonts w:ascii="仿宋" w:eastAsia="仿宋" w:hAnsi="仿宋" w:cs="Times New Roman"/>
          <w:sz w:val="24"/>
          <w:szCs w:val="24"/>
        </w:rPr>
      </w:pPr>
      <w:r>
        <w:rPr>
          <w:rFonts w:ascii="仿宋" w:eastAsia="仿宋" w:hAnsi="仿宋" w:hint="eastAsia"/>
          <w:sz w:val="28"/>
          <w:szCs w:val="24"/>
        </w:rPr>
        <w:t>根据《2018高等学校实验室安全检查项目表》</w:t>
      </w:r>
      <w:r w:rsidRPr="007B5828">
        <w:rPr>
          <w:rFonts w:ascii="仿宋" w:eastAsia="仿宋" w:hAnsi="仿宋" w:hint="eastAsia"/>
          <w:b/>
          <w:sz w:val="28"/>
          <w:szCs w:val="24"/>
        </w:rPr>
        <w:t>35</w:t>
      </w:r>
      <w:r w:rsidRPr="007B5828">
        <w:rPr>
          <w:rFonts w:ascii="仿宋" w:eastAsia="仿宋" w:hAnsi="仿宋"/>
          <w:b/>
          <w:sz w:val="28"/>
          <w:szCs w:val="24"/>
        </w:rPr>
        <w:t>8</w:t>
      </w:r>
      <w:r>
        <w:rPr>
          <w:rFonts w:ascii="仿宋" w:eastAsia="仿宋" w:hAnsi="仿宋" w:hint="eastAsia"/>
          <w:sz w:val="28"/>
          <w:szCs w:val="24"/>
        </w:rPr>
        <w:t>条款</w:t>
      </w:r>
      <w:r>
        <w:rPr>
          <w:rFonts w:ascii="仿宋" w:eastAsia="仿宋" w:hAnsi="仿宋"/>
          <w:sz w:val="28"/>
          <w:szCs w:val="24"/>
        </w:rPr>
        <w:t>，</w:t>
      </w:r>
      <w:r>
        <w:rPr>
          <w:rFonts w:ascii="仿宋" w:eastAsia="仿宋" w:hAnsi="仿宋" w:hint="eastAsia"/>
          <w:sz w:val="28"/>
          <w:szCs w:val="24"/>
        </w:rPr>
        <w:t>按照重要性、导向</w:t>
      </w:r>
      <w:r>
        <w:rPr>
          <w:rFonts w:ascii="仿宋" w:eastAsia="仿宋" w:hAnsi="仿宋"/>
          <w:sz w:val="28"/>
          <w:szCs w:val="24"/>
        </w:rPr>
        <w:t>性</w:t>
      </w:r>
      <w:r>
        <w:rPr>
          <w:rFonts w:ascii="仿宋" w:eastAsia="仿宋" w:hAnsi="仿宋" w:hint="eastAsia"/>
          <w:sz w:val="28"/>
          <w:szCs w:val="24"/>
        </w:rPr>
        <w:t>情况进行星级划分，其中</w:t>
      </w:r>
      <w:r>
        <w:rPr>
          <w:rFonts w:ascii="仿宋" w:eastAsia="仿宋" w:hAnsi="仿宋"/>
          <w:sz w:val="28"/>
          <w:szCs w:val="24"/>
        </w:rPr>
        <w:t>三星</w:t>
      </w:r>
      <w:r>
        <w:rPr>
          <w:rFonts w:ascii="仿宋" w:eastAsia="仿宋" w:hAnsi="仿宋" w:hint="eastAsia"/>
          <w:sz w:val="28"/>
          <w:szCs w:val="24"/>
        </w:rPr>
        <w:t>“***”5个，表示</w:t>
      </w:r>
      <w:r>
        <w:rPr>
          <w:rFonts w:ascii="仿宋" w:eastAsia="仿宋" w:hAnsi="仿宋"/>
          <w:sz w:val="28"/>
          <w:szCs w:val="24"/>
        </w:rPr>
        <w:t>非常重</w:t>
      </w:r>
      <w:r>
        <w:rPr>
          <w:rFonts w:ascii="仿宋" w:eastAsia="仿宋" w:hAnsi="仿宋" w:hint="eastAsia"/>
          <w:sz w:val="28"/>
          <w:szCs w:val="24"/>
        </w:rPr>
        <w:t>要</w:t>
      </w:r>
      <w:r>
        <w:rPr>
          <w:rFonts w:ascii="仿宋" w:eastAsia="仿宋" w:hAnsi="仿宋"/>
          <w:sz w:val="28"/>
          <w:szCs w:val="24"/>
        </w:rPr>
        <w:t>，</w:t>
      </w:r>
      <w:r>
        <w:rPr>
          <w:rFonts w:ascii="仿宋" w:eastAsia="仿宋" w:hAnsi="仿宋" w:hint="eastAsia"/>
          <w:sz w:val="28"/>
          <w:szCs w:val="24"/>
        </w:rPr>
        <w:t>属于</w:t>
      </w:r>
      <w:r>
        <w:rPr>
          <w:rFonts w:ascii="仿宋" w:eastAsia="仿宋" w:hAnsi="仿宋"/>
          <w:sz w:val="28"/>
          <w:szCs w:val="24"/>
        </w:rPr>
        <w:t>底线，必须符合</w:t>
      </w:r>
      <w:r>
        <w:rPr>
          <w:rFonts w:ascii="仿宋" w:eastAsia="仿宋" w:hAnsi="仿宋" w:hint="eastAsia"/>
          <w:sz w:val="28"/>
          <w:szCs w:val="24"/>
        </w:rPr>
        <w:t>；二星“**”25个，属于</w:t>
      </w:r>
      <w:r>
        <w:rPr>
          <w:rFonts w:ascii="仿宋" w:eastAsia="仿宋" w:hAnsi="仿宋"/>
          <w:sz w:val="28"/>
          <w:szCs w:val="24"/>
        </w:rPr>
        <w:t>很重要的条款，</w:t>
      </w:r>
      <w:r>
        <w:rPr>
          <w:rFonts w:ascii="仿宋" w:eastAsia="仿宋" w:hAnsi="仿宋" w:hint="eastAsia"/>
          <w:sz w:val="28"/>
          <w:szCs w:val="24"/>
        </w:rPr>
        <w:t>有严肃</w:t>
      </w:r>
      <w:r>
        <w:rPr>
          <w:rFonts w:ascii="仿宋" w:eastAsia="仿宋" w:hAnsi="仿宋"/>
          <w:sz w:val="28"/>
          <w:szCs w:val="24"/>
        </w:rPr>
        <w:t>性和导向性；</w:t>
      </w:r>
      <w:r>
        <w:rPr>
          <w:rFonts w:ascii="仿宋" w:eastAsia="仿宋" w:hAnsi="仿宋" w:hint="eastAsia"/>
          <w:sz w:val="28"/>
          <w:szCs w:val="24"/>
        </w:rPr>
        <w:t>一星“*”78个，属于</w:t>
      </w:r>
      <w:r>
        <w:rPr>
          <w:rFonts w:ascii="仿宋" w:eastAsia="仿宋" w:hAnsi="仿宋"/>
          <w:sz w:val="28"/>
          <w:szCs w:val="24"/>
        </w:rPr>
        <w:t>比较重要</w:t>
      </w:r>
      <w:r>
        <w:rPr>
          <w:rFonts w:ascii="仿宋" w:eastAsia="仿宋" w:hAnsi="仿宋" w:hint="eastAsia"/>
          <w:sz w:val="28"/>
          <w:szCs w:val="24"/>
        </w:rPr>
        <w:t>的条款（见表1）《</w:t>
      </w:r>
      <w:r w:rsidR="007B5828">
        <w:rPr>
          <w:rFonts w:ascii="仿宋" w:eastAsia="仿宋" w:hAnsi="仿宋" w:hint="eastAsia"/>
          <w:b/>
          <w:sz w:val="28"/>
          <w:szCs w:val="24"/>
        </w:rPr>
        <w:t>实验室</w:t>
      </w:r>
      <w:r w:rsidR="007B5828">
        <w:rPr>
          <w:rFonts w:ascii="仿宋" w:eastAsia="仿宋" w:hAnsi="仿宋"/>
          <w:b/>
          <w:sz w:val="28"/>
          <w:szCs w:val="24"/>
        </w:rPr>
        <w:t>安全检查条款</w:t>
      </w:r>
      <w:r w:rsidR="007B5828">
        <w:rPr>
          <w:rFonts w:ascii="仿宋" w:eastAsia="仿宋" w:hAnsi="仿宋" w:hint="eastAsia"/>
          <w:b/>
          <w:sz w:val="28"/>
          <w:szCs w:val="24"/>
        </w:rPr>
        <w:t>星号</w:t>
      </w:r>
      <w:r w:rsidR="007B5828">
        <w:rPr>
          <w:rFonts w:ascii="仿宋" w:eastAsia="仿宋" w:hAnsi="仿宋"/>
          <w:b/>
          <w:sz w:val="28"/>
          <w:szCs w:val="24"/>
        </w:rPr>
        <w:t>分级</w:t>
      </w:r>
      <w:r>
        <w:rPr>
          <w:rFonts w:ascii="仿宋" w:eastAsia="仿宋" w:hAnsi="仿宋" w:hint="eastAsia"/>
          <w:sz w:val="28"/>
          <w:szCs w:val="24"/>
        </w:rPr>
        <w:t>》</w:t>
      </w:r>
      <w:r>
        <w:rPr>
          <w:rFonts w:ascii="仿宋" w:eastAsia="仿宋" w:hAnsi="仿宋"/>
          <w:sz w:val="28"/>
          <w:szCs w:val="24"/>
        </w:rPr>
        <w:t>。</w:t>
      </w:r>
    </w:p>
    <w:p w:rsidR="00D366F4" w:rsidRDefault="008D7F00" w:rsidP="007B5828">
      <w:pPr>
        <w:spacing w:line="500" w:lineRule="exact"/>
        <w:ind w:firstLineChars="200" w:firstLine="560"/>
        <w:jc w:val="left"/>
        <w:rPr>
          <w:rFonts w:ascii="仿宋" w:eastAsia="仿宋" w:hAnsi="仿宋"/>
          <w:b/>
          <w:sz w:val="30"/>
          <w:szCs w:val="30"/>
        </w:rPr>
      </w:pPr>
      <w:r>
        <w:rPr>
          <w:rFonts w:ascii="仿宋" w:eastAsia="仿宋" w:hAnsi="仿宋" w:hint="eastAsia"/>
          <w:sz w:val="28"/>
          <w:szCs w:val="24"/>
        </w:rPr>
        <w:t>没有</w:t>
      </w:r>
      <w:r>
        <w:rPr>
          <w:rFonts w:ascii="仿宋" w:eastAsia="仿宋" w:hAnsi="仿宋"/>
          <w:sz w:val="28"/>
          <w:szCs w:val="24"/>
        </w:rPr>
        <w:t>星号的条款</w:t>
      </w:r>
      <w:r>
        <w:rPr>
          <w:rFonts w:ascii="仿宋" w:eastAsia="仿宋" w:hAnsi="仿宋" w:hint="eastAsia"/>
          <w:sz w:val="28"/>
          <w:szCs w:val="24"/>
        </w:rPr>
        <w:t>，</w:t>
      </w:r>
      <w:r>
        <w:rPr>
          <w:rFonts w:ascii="仿宋" w:eastAsia="仿宋" w:hAnsi="仿宋"/>
          <w:sz w:val="28"/>
          <w:szCs w:val="24"/>
        </w:rPr>
        <w:t>依然是高校实验室</w:t>
      </w:r>
      <w:r>
        <w:rPr>
          <w:rFonts w:ascii="仿宋" w:eastAsia="仿宋" w:hAnsi="仿宋" w:hint="eastAsia"/>
          <w:sz w:val="28"/>
          <w:szCs w:val="24"/>
        </w:rPr>
        <w:t>需</w:t>
      </w:r>
      <w:r>
        <w:rPr>
          <w:rFonts w:ascii="仿宋" w:eastAsia="仿宋" w:hAnsi="仿宋"/>
          <w:sz w:val="28"/>
          <w:szCs w:val="24"/>
        </w:rPr>
        <w:t>做好的方方面面</w:t>
      </w:r>
      <w:r>
        <w:rPr>
          <w:rFonts w:ascii="仿宋" w:eastAsia="仿宋" w:hAnsi="仿宋" w:hint="eastAsia"/>
          <w:sz w:val="28"/>
          <w:szCs w:val="24"/>
        </w:rPr>
        <w:t>，现场</w:t>
      </w:r>
      <w:r>
        <w:rPr>
          <w:rFonts w:ascii="仿宋" w:eastAsia="仿宋" w:hAnsi="仿宋"/>
          <w:sz w:val="28"/>
          <w:szCs w:val="24"/>
        </w:rPr>
        <w:t>检查时也会抽查，不可忽视。</w:t>
      </w:r>
    </w:p>
    <w:p w:rsidR="00D366F4" w:rsidRDefault="008D7F00" w:rsidP="008D7F00">
      <w:pPr>
        <w:spacing w:beforeLines="50" w:before="156" w:line="500" w:lineRule="exact"/>
        <w:ind w:firstLineChars="200" w:firstLine="602"/>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w:t>
      </w:r>
      <w:r>
        <w:rPr>
          <w:rFonts w:ascii="仿宋" w:eastAsia="仿宋" w:hAnsi="仿宋" w:hint="eastAsia"/>
          <w:b/>
          <w:sz w:val="30"/>
          <w:szCs w:val="30"/>
        </w:rPr>
        <w:t>检查</w:t>
      </w:r>
      <w:r>
        <w:rPr>
          <w:rFonts w:ascii="仿宋" w:eastAsia="仿宋" w:hAnsi="仿宋"/>
          <w:b/>
          <w:sz w:val="30"/>
          <w:szCs w:val="30"/>
        </w:rPr>
        <w:t>结果分</w:t>
      </w:r>
      <w:r>
        <w:rPr>
          <w:rFonts w:ascii="仿宋" w:eastAsia="仿宋" w:hAnsi="仿宋" w:hint="eastAsia"/>
          <w:b/>
          <w:sz w:val="30"/>
          <w:szCs w:val="30"/>
        </w:rPr>
        <w:t>级</w:t>
      </w:r>
    </w:p>
    <w:p w:rsidR="00D366F4" w:rsidRDefault="008D7F00">
      <w:pPr>
        <w:spacing w:line="500" w:lineRule="exact"/>
        <w:ind w:firstLineChars="200" w:firstLine="560"/>
        <w:rPr>
          <w:rFonts w:ascii="仿宋" w:eastAsia="仿宋" w:hAnsi="仿宋"/>
          <w:sz w:val="28"/>
          <w:szCs w:val="24"/>
        </w:rPr>
      </w:pPr>
      <w:r>
        <w:rPr>
          <w:rFonts w:ascii="仿宋" w:eastAsia="仿宋" w:hAnsi="仿宋" w:hint="eastAsia"/>
          <w:sz w:val="28"/>
          <w:szCs w:val="24"/>
        </w:rPr>
        <w:t>根据</w:t>
      </w:r>
      <w:r>
        <w:rPr>
          <w:rFonts w:ascii="仿宋" w:eastAsia="仿宋" w:hAnsi="仿宋"/>
          <w:sz w:val="28"/>
          <w:szCs w:val="24"/>
        </w:rPr>
        <w:t>专家组现场</w:t>
      </w:r>
      <w:r>
        <w:rPr>
          <w:rFonts w:ascii="仿宋" w:eastAsia="仿宋" w:hAnsi="仿宋" w:hint="eastAsia"/>
          <w:sz w:val="28"/>
          <w:szCs w:val="24"/>
        </w:rPr>
        <w:t>检查，</w:t>
      </w:r>
      <w:r>
        <w:rPr>
          <w:rFonts w:ascii="仿宋" w:eastAsia="仿宋" w:hAnsi="仿宋"/>
          <w:sz w:val="28"/>
          <w:szCs w:val="24"/>
        </w:rPr>
        <w:t>将</w:t>
      </w:r>
      <w:r>
        <w:rPr>
          <w:rFonts w:ascii="仿宋" w:eastAsia="仿宋" w:hAnsi="仿宋" w:hint="eastAsia"/>
          <w:sz w:val="28"/>
          <w:szCs w:val="24"/>
        </w:rPr>
        <w:t>结果分为四级，</w:t>
      </w:r>
      <w:r>
        <w:rPr>
          <w:rFonts w:ascii="仿宋" w:eastAsia="仿宋" w:hAnsi="仿宋"/>
          <w:sz w:val="28"/>
          <w:szCs w:val="24"/>
        </w:rPr>
        <w:t>即</w:t>
      </w:r>
      <w:r>
        <w:rPr>
          <w:rFonts w:ascii="仿宋" w:eastAsia="仿宋" w:hAnsi="仿宋" w:hint="eastAsia"/>
          <w:sz w:val="28"/>
          <w:szCs w:val="24"/>
        </w:rPr>
        <w:t>：</w:t>
      </w:r>
    </w:p>
    <w:p w:rsidR="00D366F4" w:rsidRDefault="008D7F00">
      <w:pPr>
        <w:spacing w:line="500" w:lineRule="exact"/>
        <w:ind w:firstLineChars="200" w:firstLine="560"/>
        <w:rPr>
          <w:rFonts w:ascii="仿宋" w:eastAsia="仿宋" w:hAnsi="仿宋"/>
          <w:sz w:val="28"/>
          <w:szCs w:val="24"/>
        </w:rPr>
      </w:pPr>
      <w:r>
        <w:rPr>
          <w:rFonts w:ascii="仿宋" w:eastAsia="仿宋" w:hAnsi="仿宋" w:hint="eastAsia"/>
          <w:sz w:val="28"/>
          <w:szCs w:val="24"/>
        </w:rPr>
        <w:t>A级</w:t>
      </w:r>
      <w:r>
        <w:rPr>
          <w:rFonts w:ascii="仿宋" w:eastAsia="仿宋" w:hAnsi="仿宋"/>
          <w:sz w:val="28"/>
          <w:szCs w:val="24"/>
        </w:rPr>
        <w:t>：</w:t>
      </w:r>
      <w:r>
        <w:rPr>
          <w:rFonts w:ascii="仿宋" w:eastAsia="仿宋" w:hAnsi="仿宋" w:hint="eastAsia"/>
          <w:sz w:val="28"/>
          <w:szCs w:val="24"/>
        </w:rPr>
        <w:t>通过；</w:t>
      </w:r>
    </w:p>
    <w:p w:rsidR="00D366F4" w:rsidRDefault="008D7F00">
      <w:pPr>
        <w:spacing w:line="500" w:lineRule="exact"/>
        <w:ind w:firstLineChars="200" w:firstLine="560"/>
        <w:rPr>
          <w:rFonts w:ascii="仿宋" w:eastAsia="仿宋" w:hAnsi="仿宋"/>
          <w:sz w:val="28"/>
          <w:szCs w:val="24"/>
        </w:rPr>
      </w:pPr>
      <w:r>
        <w:rPr>
          <w:rFonts w:ascii="仿宋" w:eastAsia="仿宋" w:hAnsi="仿宋" w:hint="eastAsia"/>
          <w:sz w:val="28"/>
          <w:szCs w:val="24"/>
        </w:rPr>
        <w:t>B级</w:t>
      </w:r>
      <w:r>
        <w:rPr>
          <w:rFonts w:ascii="仿宋" w:eastAsia="仿宋" w:hAnsi="仿宋"/>
          <w:sz w:val="28"/>
          <w:szCs w:val="24"/>
        </w:rPr>
        <w:t>：</w:t>
      </w:r>
      <w:r>
        <w:rPr>
          <w:rFonts w:ascii="仿宋" w:eastAsia="仿宋" w:hAnsi="仿宋" w:hint="eastAsia"/>
          <w:sz w:val="28"/>
          <w:szCs w:val="24"/>
        </w:rPr>
        <w:t>整改后通过；</w:t>
      </w:r>
    </w:p>
    <w:p w:rsidR="00D366F4" w:rsidRDefault="008D7F00">
      <w:pPr>
        <w:spacing w:line="500" w:lineRule="exact"/>
        <w:ind w:firstLineChars="200" w:firstLine="560"/>
        <w:rPr>
          <w:rFonts w:ascii="仿宋" w:eastAsia="仿宋" w:hAnsi="仿宋"/>
          <w:sz w:val="28"/>
          <w:szCs w:val="24"/>
        </w:rPr>
      </w:pPr>
      <w:r>
        <w:rPr>
          <w:rFonts w:ascii="仿宋" w:eastAsia="仿宋" w:hAnsi="仿宋" w:hint="eastAsia"/>
          <w:sz w:val="28"/>
          <w:szCs w:val="24"/>
        </w:rPr>
        <w:t>C级</w:t>
      </w:r>
      <w:r>
        <w:rPr>
          <w:rFonts w:ascii="仿宋" w:eastAsia="仿宋" w:hAnsi="仿宋"/>
          <w:sz w:val="28"/>
          <w:szCs w:val="24"/>
        </w:rPr>
        <w:t>：</w:t>
      </w:r>
      <w:r>
        <w:rPr>
          <w:rFonts w:ascii="仿宋" w:eastAsia="仿宋" w:hAnsi="仿宋" w:hint="eastAsia"/>
          <w:sz w:val="28"/>
          <w:szCs w:val="24"/>
        </w:rPr>
        <w:t>整改，</w:t>
      </w:r>
      <w:r>
        <w:rPr>
          <w:rFonts w:ascii="仿宋" w:eastAsia="仿宋" w:hAnsi="仿宋"/>
          <w:sz w:val="28"/>
          <w:szCs w:val="24"/>
        </w:rPr>
        <w:t>经</w:t>
      </w:r>
      <w:r>
        <w:rPr>
          <w:rFonts w:ascii="仿宋" w:eastAsia="仿宋" w:hAnsi="仿宋" w:hint="eastAsia"/>
          <w:sz w:val="28"/>
          <w:szCs w:val="24"/>
        </w:rPr>
        <w:t>现场复查合格后通过；</w:t>
      </w:r>
    </w:p>
    <w:p w:rsidR="00D366F4" w:rsidRDefault="008D7F00">
      <w:pPr>
        <w:spacing w:line="500" w:lineRule="exact"/>
        <w:ind w:firstLineChars="200" w:firstLine="560"/>
        <w:rPr>
          <w:rFonts w:ascii="仿宋" w:eastAsia="仿宋" w:hAnsi="仿宋"/>
          <w:sz w:val="24"/>
          <w:szCs w:val="24"/>
        </w:rPr>
      </w:pPr>
      <w:r>
        <w:rPr>
          <w:rFonts w:ascii="仿宋" w:eastAsia="仿宋" w:hAnsi="仿宋" w:hint="eastAsia"/>
          <w:sz w:val="28"/>
          <w:szCs w:val="24"/>
        </w:rPr>
        <w:t>D级</w:t>
      </w:r>
      <w:r>
        <w:rPr>
          <w:rFonts w:ascii="仿宋" w:eastAsia="仿宋" w:hAnsi="仿宋"/>
          <w:sz w:val="28"/>
          <w:szCs w:val="24"/>
        </w:rPr>
        <w:t>：</w:t>
      </w:r>
      <w:r>
        <w:rPr>
          <w:rFonts w:ascii="仿宋" w:eastAsia="仿宋" w:hAnsi="仿宋" w:hint="eastAsia"/>
          <w:sz w:val="28"/>
          <w:szCs w:val="24"/>
        </w:rPr>
        <w:t>不通过。</w:t>
      </w:r>
    </w:p>
    <w:p w:rsidR="00D366F4" w:rsidRDefault="008D7F00" w:rsidP="008D7F00">
      <w:pPr>
        <w:spacing w:beforeLines="50" w:before="156" w:line="500" w:lineRule="exact"/>
        <w:ind w:firstLineChars="200" w:firstLine="602"/>
        <w:jc w:val="left"/>
        <w:rPr>
          <w:rFonts w:ascii="仿宋" w:eastAsia="仿宋" w:hAnsi="仿宋"/>
          <w:b/>
          <w:sz w:val="30"/>
          <w:szCs w:val="30"/>
        </w:rPr>
      </w:pPr>
      <w:r>
        <w:rPr>
          <w:rFonts w:ascii="仿宋" w:eastAsia="仿宋" w:hAnsi="仿宋"/>
          <w:b/>
          <w:sz w:val="30"/>
          <w:szCs w:val="30"/>
        </w:rPr>
        <w:t>3</w:t>
      </w:r>
      <w:r>
        <w:rPr>
          <w:rFonts w:ascii="仿宋" w:eastAsia="仿宋" w:hAnsi="仿宋" w:hint="eastAsia"/>
          <w:b/>
          <w:sz w:val="30"/>
          <w:szCs w:val="30"/>
        </w:rPr>
        <w:t>.检查结果的</w:t>
      </w:r>
      <w:r>
        <w:rPr>
          <w:rFonts w:ascii="仿宋" w:eastAsia="仿宋" w:hAnsi="仿宋"/>
          <w:b/>
          <w:sz w:val="30"/>
          <w:szCs w:val="30"/>
        </w:rPr>
        <w:t>分</w:t>
      </w:r>
      <w:r>
        <w:rPr>
          <w:rFonts w:ascii="仿宋" w:eastAsia="仿宋" w:hAnsi="仿宋" w:hint="eastAsia"/>
          <w:b/>
          <w:sz w:val="30"/>
          <w:szCs w:val="30"/>
        </w:rPr>
        <w:t>级</w:t>
      </w:r>
      <w:r>
        <w:rPr>
          <w:rFonts w:ascii="仿宋" w:eastAsia="仿宋" w:hAnsi="仿宋"/>
          <w:b/>
          <w:sz w:val="30"/>
          <w:szCs w:val="30"/>
        </w:rPr>
        <w:t>判别</w:t>
      </w:r>
    </w:p>
    <w:p w:rsidR="00D366F4" w:rsidRDefault="008D7F00" w:rsidP="007B5828">
      <w:pPr>
        <w:spacing w:beforeLines="50" w:before="156" w:line="500" w:lineRule="exact"/>
        <w:ind w:firstLineChars="200" w:firstLine="560"/>
        <w:jc w:val="left"/>
        <w:rPr>
          <w:rFonts w:ascii="仿宋" w:eastAsia="仿宋" w:hAnsi="仿宋"/>
          <w:sz w:val="28"/>
          <w:szCs w:val="24"/>
        </w:rPr>
      </w:pPr>
      <w:r>
        <w:rPr>
          <w:rFonts w:ascii="仿宋" w:eastAsia="仿宋" w:hAnsi="仿宋" w:hint="eastAsia"/>
          <w:sz w:val="28"/>
          <w:szCs w:val="24"/>
        </w:rPr>
        <w:t>根据现场检查</w:t>
      </w:r>
      <w:r>
        <w:rPr>
          <w:rFonts w:ascii="仿宋" w:eastAsia="仿宋" w:hAnsi="仿宋"/>
          <w:sz w:val="28"/>
          <w:szCs w:val="24"/>
        </w:rPr>
        <w:t>发现</w:t>
      </w:r>
      <w:r>
        <w:rPr>
          <w:rFonts w:ascii="仿宋" w:eastAsia="仿宋" w:hAnsi="仿宋" w:hint="eastAsia"/>
          <w:sz w:val="28"/>
          <w:szCs w:val="24"/>
        </w:rPr>
        <w:t>安全</w:t>
      </w:r>
      <w:r>
        <w:rPr>
          <w:rFonts w:ascii="仿宋" w:eastAsia="仿宋" w:hAnsi="仿宋"/>
          <w:sz w:val="28"/>
          <w:szCs w:val="24"/>
        </w:rPr>
        <w:t>问题和隐患的</w:t>
      </w:r>
      <w:r>
        <w:rPr>
          <w:rFonts w:ascii="仿宋" w:eastAsia="仿宋" w:hAnsi="仿宋" w:hint="eastAsia"/>
          <w:sz w:val="28"/>
          <w:szCs w:val="24"/>
        </w:rPr>
        <w:t>情况</w:t>
      </w:r>
      <w:r>
        <w:rPr>
          <w:rFonts w:ascii="仿宋" w:eastAsia="仿宋" w:hAnsi="仿宋"/>
          <w:sz w:val="28"/>
          <w:szCs w:val="24"/>
        </w:rPr>
        <w:t>，对照指标</w:t>
      </w:r>
      <w:r>
        <w:rPr>
          <w:rFonts w:ascii="仿宋" w:eastAsia="仿宋" w:hAnsi="仿宋" w:hint="eastAsia"/>
          <w:sz w:val="28"/>
          <w:szCs w:val="24"/>
        </w:rPr>
        <w:t>条款</w:t>
      </w:r>
      <w:r>
        <w:rPr>
          <w:rFonts w:ascii="仿宋" w:eastAsia="仿宋" w:hAnsi="仿宋"/>
          <w:sz w:val="28"/>
          <w:szCs w:val="24"/>
        </w:rPr>
        <w:t>的</w:t>
      </w:r>
      <w:r>
        <w:rPr>
          <w:rFonts w:ascii="仿宋" w:eastAsia="仿宋" w:hAnsi="仿宋" w:hint="eastAsia"/>
          <w:sz w:val="28"/>
          <w:szCs w:val="24"/>
        </w:rPr>
        <w:t>星级和</w:t>
      </w:r>
      <w:r>
        <w:rPr>
          <w:rFonts w:ascii="仿宋" w:eastAsia="仿宋" w:hAnsi="仿宋"/>
          <w:sz w:val="28"/>
          <w:szCs w:val="24"/>
        </w:rPr>
        <w:t>数量，</w:t>
      </w:r>
      <w:r>
        <w:rPr>
          <w:rFonts w:ascii="仿宋" w:eastAsia="仿宋" w:hAnsi="仿宋" w:hint="eastAsia"/>
          <w:sz w:val="28"/>
          <w:szCs w:val="24"/>
        </w:rPr>
        <w:t>判定</w:t>
      </w:r>
      <w:r>
        <w:rPr>
          <w:rFonts w:ascii="仿宋" w:eastAsia="仿宋" w:hAnsi="仿宋"/>
          <w:sz w:val="28"/>
          <w:szCs w:val="24"/>
        </w:rPr>
        <w:t>检查结果</w:t>
      </w:r>
      <w:r>
        <w:rPr>
          <w:rFonts w:ascii="仿宋" w:eastAsia="仿宋" w:hAnsi="仿宋" w:hint="eastAsia"/>
          <w:sz w:val="28"/>
          <w:szCs w:val="24"/>
        </w:rPr>
        <w:t>档级，</w:t>
      </w:r>
      <w:r>
        <w:rPr>
          <w:rFonts w:ascii="仿宋" w:eastAsia="仿宋" w:hAnsi="仿宋"/>
          <w:sz w:val="28"/>
          <w:szCs w:val="24"/>
        </w:rPr>
        <w:t>作为</w:t>
      </w:r>
      <w:r>
        <w:rPr>
          <w:rFonts w:ascii="仿宋" w:eastAsia="仿宋" w:hAnsi="仿宋" w:hint="eastAsia"/>
          <w:sz w:val="28"/>
          <w:szCs w:val="24"/>
        </w:rPr>
        <w:t>现场</w:t>
      </w:r>
      <w:r>
        <w:rPr>
          <w:rFonts w:ascii="仿宋" w:eastAsia="仿宋" w:hAnsi="仿宋"/>
          <w:sz w:val="28"/>
          <w:szCs w:val="24"/>
        </w:rPr>
        <w:t>检查的结</w:t>
      </w:r>
      <w:r>
        <w:rPr>
          <w:rFonts w:ascii="仿宋" w:eastAsia="仿宋" w:hAnsi="仿宋" w:hint="eastAsia"/>
          <w:sz w:val="28"/>
          <w:szCs w:val="24"/>
        </w:rPr>
        <w:t>果（见</w:t>
      </w:r>
      <w:r>
        <w:rPr>
          <w:rFonts w:ascii="仿宋" w:eastAsia="仿宋" w:hAnsi="仿宋"/>
          <w:sz w:val="28"/>
          <w:szCs w:val="24"/>
        </w:rPr>
        <w:t>表</w:t>
      </w:r>
      <w:r>
        <w:rPr>
          <w:rFonts w:ascii="仿宋" w:eastAsia="仿宋" w:hAnsi="仿宋" w:hint="eastAsia"/>
          <w:sz w:val="28"/>
          <w:szCs w:val="24"/>
        </w:rPr>
        <w:t>2）</w:t>
      </w:r>
      <w:r w:rsidR="007B5828">
        <w:rPr>
          <w:rFonts w:ascii="仿宋" w:eastAsia="仿宋" w:hAnsi="仿宋" w:hint="eastAsia"/>
          <w:sz w:val="28"/>
          <w:szCs w:val="24"/>
        </w:rPr>
        <w:t>《</w:t>
      </w:r>
      <w:r w:rsidR="007B5828">
        <w:rPr>
          <w:rFonts w:ascii="仿宋" w:eastAsia="仿宋" w:hAnsi="仿宋" w:hint="eastAsia"/>
          <w:b/>
          <w:sz w:val="28"/>
          <w:szCs w:val="24"/>
        </w:rPr>
        <w:t>发现安全</w:t>
      </w:r>
      <w:r w:rsidR="007B5828">
        <w:rPr>
          <w:rFonts w:ascii="仿宋" w:eastAsia="仿宋" w:hAnsi="仿宋"/>
          <w:b/>
          <w:sz w:val="28"/>
          <w:szCs w:val="24"/>
        </w:rPr>
        <w:t>隐患指标</w:t>
      </w:r>
      <w:r w:rsidR="007B5828">
        <w:rPr>
          <w:rFonts w:ascii="仿宋" w:eastAsia="仿宋" w:hAnsi="仿宋" w:hint="eastAsia"/>
          <w:b/>
          <w:sz w:val="28"/>
          <w:szCs w:val="24"/>
        </w:rPr>
        <w:t>条款与</w:t>
      </w:r>
      <w:r w:rsidR="007B5828">
        <w:rPr>
          <w:rFonts w:ascii="仿宋" w:eastAsia="仿宋" w:hAnsi="仿宋"/>
          <w:b/>
          <w:sz w:val="28"/>
          <w:szCs w:val="24"/>
        </w:rPr>
        <w:t>检查结</w:t>
      </w:r>
      <w:r w:rsidR="007B5828">
        <w:rPr>
          <w:rFonts w:ascii="仿宋" w:eastAsia="仿宋" w:hAnsi="仿宋" w:hint="eastAsia"/>
          <w:b/>
          <w:sz w:val="28"/>
          <w:szCs w:val="24"/>
        </w:rPr>
        <w:t>果</w:t>
      </w:r>
      <w:r w:rsidR="007B5828">
        <w:rPr>
          <w:rFonts w:ascii="仿宋" w:eastAsia="仿宋" w:hAnsi="仿宋"/>
          <w:b/>
          <w:sz w:val="28"/>
          <w:szCs w:val="24"/>
        </w:rPr>
        <w:t>的关系</w:t>
      </w:r>
      <w:r w:rsidR="007B5828">
        <w:rPr>
          <w:rFonts w:ascii="仿宋" w:eastAsia="仿宋" w:hAnsi="仿宋" w:hint="eastAsia"/>
          <w:sz w:val="28"/>
          <w:szCs w:val="24"/>
        </w:rPr>
        <w:t>》</w:t>
      </w:r>
      <w:r>
        <w:rPr>
          <w:rFonts w:ascii="仿宋" w:eastAsia="仿宋" w:hAnsi="仿宋" w:hint="eastAsia"/>
          <w:sz w:val="28"/>
          <w:szCs w:val="24"/>
        </w:rPr>
        <w:t>。</w:t>
      </w:r>
    </w:p>
    <w:p w:rsidR="00D366F4" w:rsidRDefault="00D366F4">
      <w:pPr>
        <w:spacing w:line="500" w:lineRule="exact"/>
        <w:ind w:firstLineChars="200" w:firstLine="560"/>
        <w:rPr>
          <w:rFonts w:ascii="仿宋" w:eastAsia="仿宋" w:hAnsi="仿宋"/>
          <w:sz w:val="28"/>
          <w:szCs w:val="24"/>
        </w:rPr>
      </w:pPr>
    </w:p>
    <w:p w:rsidR="007B5828" w:rsidRDefault="007B5828">
      <w:pPr>
        <w:spacing w:line="500" w:lineRule="exact"/>
        <w:ind w:firstLineChars="200" w:firstLine="560"/>
        <w:rPr>
          <w:rFonts w:ascii="仿宋" w:eastAsia="仿宋" w:hAnsi="仿宋"/>
          <w:sz w:val="28"/>
          <w:szCs w:val="24"/>
        </w:rPr>
      </w:pPr>
    </w:p>
    <w:p w:rsidR="007B5828" w:rsidRDefault="007B5828">
      <w:pPr>
        <w:spacing w:line="500" w:lineRule="exact"/>
        <w:ind w:firstLineChars="200" w:firstLine="560"/>
        <w:rPr>
          <w:rFonts w:ascii="仿宋" w:eastAsia="仿宋" w:hAnsi="仿宋"/>
          <w:sz w:val="28"/>
          <w:szCs w:val="24"/>
        </w:rPr>
      </w:pPr>
    </w:p>
    <w:p w:rsidR="00D366F4" w:rsidRDefault="008D7F00">
      <w:pPr>
        <w:spacing w:line="500" w:lineRule="exact"/>
        <w:rPr>
          <w:rFonts w:ascii="仿宋" w:eastAsia="仿宋" w:hAnsi="仿宋"/>
          <w:b/>
          <w:bCs/>
          <w:sz w:val="28"/>
          <w:szCs w:val="24"/>
        </w:rPr>
      </w:pPr>
      <w:r>
        <w:rPr>
          <w:rFonts w:ascii="仿宋" w:eastAsia="仿宋" w:hAnsi="仿宋" w:hint="eastAsia"/>
          <w:b/>
          <w:bCs/>
          <w:sz w:val="28"/>
          <w:szCs w:val="24"/>
        </w:rPr>
        <w:lastRenderedPageBreak/>
        <w:t>表1.</w:t>
      </w:r>
    </w:p>
    <w:p w:rsidR="00D366F4" w:rsidRDefault="008D7F00">
      <w:pPr>
        <w:spacing w:line="500" w:lineRule="exact"/>
        <w:ind w:left="360" w:firstLineChars="500" w:firstLine="1405"/>
        <w:jc w:val="left"/>
        <w:rPr>
          <w:rFonts w:ascii="仿宋" w:eastAsia="仿宋" w:hAnsi="仿宋" w:cs="Times New Roman"/>
          <w:sz w:val="24"/>
          <w:szCs w:val="24"/>
        </w:rPr>
      </w:pPr>
      <w:r>
        <w:rPr>
          <w:rFonts w:ascii="仿宋" w:eastAsia="仿宋" w:hAnsi="仿宋" w:hint="eastAsia"/>
          <w:b/>
          <w:sz w:val="28"/>
          <w:szCs w:val="24"/>
        </w:rPr>
        <w:t>实验室</w:t>
      </w:r>
      <w:r>
        <w:rPr>
          <w:rFonts w:ascii="仿宋" w:eastAsia="仿宋" w:hAnsi="仿宋"/>
          <w:b/>
          <w:sz w:val="28"/>
          <w:szCs w:val="24"/>
        </w:rPr>
        <w:t>安全检查条款</w:t>
      </w:r>
      <w:r>
        <w:rPr>
          <w:rFonts w:ascii="仿宋" w:eastAsia="仿宋" w:hAnsi="仿宋" w:hint="eastAsia"/>
          <w:b/>
          <w:sz w:val="28"/>
          <w:szCs w:val="24"/>
        </w:rPr>
        <w:t>星号</w:t>
      </w:r>
      <w:r>
        <w:rPr>
          <w:rFonts w:ascii="仿宋" w:eastAsia="仿宋" w:hAnsi="仿宋"/>
          <w:b/>
          <w:sz w:val="28"/>
          <w:szCs w:val="24"/>
        </w:rPr>
        <w:t>分级</w:t>
      </w:r>
    </w:p>
    <w:p w:rsidR="00D366F4" w:rsidRDefault="008D7F00">
      <w:pPr>
        <w:numPr>
          <w:ilvl w:val="0"/>
          <w:numId w:val="1"/>
        </w:numPr>
        <w:spacing w:line="500" w:lineRule="exact"/>
        <w:jc w:val="left"/>
        <w:rPr>
          <w:rFonts w:ascii="仿宋" w:eastAsia="仿宋" w:hAnsi="仿宋" w:cs="Times New Roman"/>
          <w:sz w:val="24"/>
          <w:szCs w:val="24"/>
        </w:rPr>
      </w:pPr>
      <w:r>
        <w:rPr>
          <w:rFonts w:ascii="仿宋" w:eastAsia="仿宋" w:hAnsi="仿宋" w:cs="Times New Roman" w:hint="eastAsia"/>
          <w:sz w:val="24"/>
          <w:szCs w:val="24"/>
        </w:rPr>
        <w:t>说明：编号为《高等学校实验室安全检查项目表（2018）》中所列编号。为方便学院和实验室自查，设备与实验室管理处对重点条款进行了重新梳理和分类。</w:t>
      </w:r>
    </w:p>
    <w:p w:rsidR="00D366F4" w:rsidRDefault="008D7F00">
      <w:pPr>
        <w:spacing w:line="500" w:lineRule="exact"/>
        <w:ind w:left="360"/>
        <w:jc w:val="center"/>
        <w:rPr>
          <w:rFonts w:ascii="仿宋" w:eastAsia="仿宋" w:hAnsi="仿宋" w:cs="Times New Roman"/>
          <w:b/>
          <w:bCs/>
          <w:sz w:val="32"/>
          <w:szCs w:val="32"/>
        </w:rPr>
      </w:pPr>
      <w:r>
        <w:rPr>
          <w:rFonts w:ascii="仿宋" w:eastAsia="仿宋" w:hAnsi="仿宋" w:cs="Times New Roman" w:hint="eastAsia"/>
          <w:b/>
          <w:bCs/>
          <w:sz w:val="32"/>
          <w:szCs w:val="32"/>
        </w:rPr>
        <w:t>一、学院管理层面</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1843"/>
        <w:gridCol w:w="5528"/>
        <w:gridCol w:w="1326"/>
      </w:tblGrid>
      <w:tr w:rsidR="00D366F4">
        <w:tc>
          <w:tcPr>
            <w:tcW w:w="562"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序号</w:t>
            </w:r>
          </w:p>
        </w:tc>
        <w:tc>
          <w:tcPr>
            <w:tcW w:w="851"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编号</w:t>
            </w:r>
          </w:p>
        </w:tc>
        <w:tc>
          <w:tcPr>
            <w:tcW w:w="1843"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小类</w:t>
            </w:r>
            <w:r>
              <w:rPr>
                <w:rFonts w:ascii="宋体" w:eastAsia="宋体" w:hAnsi="宋体" w:cs="Times New Roman"/>
                <w:b/>
                <w:sz w:val="24"/>
                <w:szCs w:val="24"/>
              </w:rPr>
              <w:t>名称</w:t>
            </w:r>
          </w:p>
        </w:tc>
        <w:tc>
          <w:tcPr>
            <w:tcW w:w="5528"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检查</w:t>
            </w:r>
            <w:r>
              <w:rPr>
                <w:rFonts w:ascii="宋体" w:eastAsia="宋体" w:hAnsi="宋体" w:cs="Times New Roman"/>
                <w:b/>
                <w:sz w:val="24"/>
                <w:szCs w:val="24"/>
              </w:rPr>
              <w:t>项目</w:t>
            </w:r>
          </w:p>
        </w:tc>
        <w:tc>
          <w:tcPr>
            <w:tcW w:w="1326"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重要性</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1.2.1</w:t>
            </w:r>
          </w:p>
        </w:tc>
        <w:tc>
          <w:tcPr>
            <w:tcW w:w="1843" w:type="dxa"/>
            <w:shd w:val="clear" w:color="auto" w:fill="auto"/>
            <w:tcMar>
              <w:left w:w="45" w:type="dxa"/>
              <w:right w:w="45" w:type="dxa"/>
            </w:tcMar>
            <w:vAlign w:val="center"/>
          </w:tcPr>
          <w:p w:rsidR="00D366F4" w:rsidRDefault="008D7F00">
            <w:pPr>
              <w:widowControl/>
              <w:rPr>
                <w:rFonts w:ascii="Calibri" w:eastAsia="宋体" w:hAnsi="Calibri" w:cs="Times New Roman"/>
                <w:bCs/>
                <w:color w:val="000000"/>
                <w:szCs w:val="21"/>
              </w:rPr>
            </w:pPr>
            <w:r>
              <w:rPr>
                <w:rFonts w:ascii="Calibri" w:eastAsia="宋体" w:hAnsi="Calibri" w:cs="Times New Roman" w:hint="eastAsia"/>
                <w:bCs/>
                <w:color w:val="000000"/>
                <w:szCs w:val="21"/>
              </w:rPr>
              <w:t>院级层面安全责任体系</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成立实验室安全领导小组，由党</w:t>
            </w:r>
            <w:r>
              <w:rPr>
                <w:rFonts w:ascii="Times New Roman" w:eastAsia="宋体" w:hAnsi="Times New Roman" w:cs="Times New Roman"/>
                <w:color w:val="000000"/>
                <w:szCs w:val="21"/>
              </w:rPr>
              <w:t>/</w:t>
            </w:r>
            <w:r>
              <w:rPr>
                <w:rFonts w:ascii="Calibri" w:eastAsia="宋体" w:hAnsi="Calibri" w:cs="Times New Roman" w:hint="eastAsia"/>
                <w:color w:val="000000"/>
                <w:szCs w:val="21"/>
              </w:rPr>
              <w:t>政主要领导作为负责人，研究所、中心、教研室、实验室等负责人参加。分管实验室的领导主管实验室安全</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bCs/>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w:t>
            </w:r>
          </w:p>
        </w:tc>
        <w:tc>
          <w:tcPr>
            <w:tcW w:w="851"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Times New Roman" w:eastAsia="宋体" w:hAnsi="Times New Roman" w:cs="Times New Roman"/>
                <w:color w:val="000000"/>
                <w:sz w:val="24"/>
                <w:szCs w:val="24"/>
              </w:rPr>
              <w:t>2.2.3</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院系层面的安全管理制度</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涉及安全隐患的设备（如大型仪器、高温、高速、高压、强磁、低温等设备）有安全操作规程，并明示</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3</w:t>
            </w:r>
          </w:p>
        </w:tc>
        <w:tc>
          <w:tcPr>
            <w:tcW w:w="851"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Times New Roman" w:eastAsia="宋体" w:hAnsi="Times New Roman" w:cs="Times New Roman"/>
                <w:color w:val="000000"/>
                <w:sz w:val="24"/>
                <w:szCs w:val="24"/>
              </w:rPr>
              <w:t>2.2.4</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院系层面的安全管理制度</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危险性实验、工艺有实验指导书或操作规程（含安全注意事项），并明示</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4</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2.2.5</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院系层面的安全管理制度</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建立了危险性实验风险评估与准入机制</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5</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3.1.1</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安全</w:t>
            </w:r>
            <w:r>
              <w:rPr>
                <w:rFonts w:ascii="宋体" w:eastAsia="宋体" w:hAnsi="宋体" w:cs="Times New Roman"/>
                <w:sz w:val="24"/>
                <w:szCs w:val="24"/>
              </w:rPr>
              <w:t>教育活动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开设合适的实验室安全必修课或选修课</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6</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3.2.3</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实验室</w:t>
            </w:r>
            <w:r>
              <w:rPr>
                <w:rFonts w:ascii="Times New Roman" w:eastAsia="宋体" w:hAnsi="Times New Roman" w:cs="Times New Roman"/>
                <w:color w:val="000000"/>
                <w:sz w:val="24"/>
                <w:szCs w:val="24"/>
              </w:rPr>
              <w:t>安全考试系统</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每年组织新教工、本科生和研究生新生学习与考试，通过者发放合格证</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bCs/>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7</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4.1.1</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危险源</w:t>
            </w:r>
            <w:r>
              <w:rPr>
                <w:rFonts w:ascii="宋体" w:eastAsia="宋体" w:hAnsi="宋体" w:cs="Times New Roman"/>
                <w:sz w:val="24"/>
                <w:szCs w:val="24"/>
              </w:rPr>
              <w:t>辨识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学院层面建立了实验室安全危险源清单，内容包括涉及单位、房间、类别、数量、责任人等信息</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8</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4.3.2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隐患整改</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院系落实问题隐患的整改，整改报告在规定时间内提交学校管理部门，并归档</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bCs/>
                <w:color w:val="000000"/>
                <w:sz w:val="24"/>
                <w:szCs w:val="24"/>
              </w:rPr>
              <w:t>*</w:t>
            </w:r>
          </w:p>
        </w:tc>
      </w:tr>
    </w:tbl>
    <w:p w:rsidR="00D366F4" w:rsidRDefault="008D7F00">
      <w:pPr>
        <w:spacing w:line="500" w:lineRule="exact"/>
        <w:ind w:left="360"/>
        <w:jc w:val="left"/>
        <w:rPr>
          <w:rFonts w:ascii="仿宋" w:eastAsia="仿宋" w:hAnsi="仿宋" w:cs="Times New Roman"/>
          <w:sz w:val="24"/>
          <w:szCs w:val="24"/>
        </w:rPr>
      </w:pPr>
      <w:r>
        <w:rPr>
          <w:rFonts w:ascii="仿宋" w:eastAsia="仿宋" w:hAnsi="仿宋" w:cs="Times New Roman" w:hint="eastAsia"/>
          <w:sz w:val="24"/>
          <w:szCs w:val="24"/>
        </w:rPr>
        <w:t xml:space="preserve">                       </w:t>
      </w:r>
    </w:p>
    <w:p w:rsidR="00D366F4" w:rsidRDefault="008D7F00">
      <w:pPr>
        <w:spacing w:line="500" w:lineRule="exact"/>
        <w:ind w:left="360"/>
        <w:jc w:val="left"/>
        <w:rPr>
          <w:rFonts w:ascii="仿宋" w:eastAsia="仿宋" w:hAnsi="仿宋" w:cs="Times New Roman"/>
          <w:b/>
          <w:bCs/>
          <w:sz w:val="32"/>
          <w:szCs w:val="32"/>
        </w:rPr>
      </w:pPr>
      <w:r>
        <w:rPr>
          <w:rFonts w:ascii="仿宋" w:eastAsia="仿宋" w:hAnsi="仿宋" w:cs="Times New Roman" w:hint="eastAsia"/>
          <w:sz w:val="24"/>
          <w:szCs w:val="24"/>
        </w:rPr>
        <w:t xml:space="preserve">                       </w:t>
      </w:r>
      <w:r>
        <w:rPr>
          <w:rFonts w:ascii="仿宋" w:eastAsia="仿宋" w:hAnsi="仿宋" w:cs="Times New Roman" w:hint="eastAsia"/>
          <w:b/>
          <w:bCs/>
          <w:sz w:val="32"/>
          <w:szCs w:val="32"/>
        </w:rPr>
        <w:t>二、实验室日常管理</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1843"/>
        <w:gridCol w:w="5528"/>
        <w:gridCol w:w="1326"/>
      </w:tblGrid>
      <w:tr w:rsidR="00D366F4">
        <w:tc>
          <w:tcPr>
            <w:tcW w:w="562"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序号</w:t>
            </w:r>
          </w:p>
        </w:tc>
        <w:tc>
          <w:tcPr>
            <w:tcW w:w="851"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编号</w:t>
            </w:r>
          </w:p>
        </w:tc>
        <w:tc>
          <w:tcPr>
            <w:tcW w:w="1843"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小类</w:t>
            </w:r>
            <w:r>
              <w:rPr>
                <w:rFonts w:ascii="宋体" w:eastAsia="宋体" w:hAnsi="宋体" w:cs="Times New Roman"/>
                <w:b/>
                <w:sz w:val="24"/>
                <w:szCs w:val="24"/>
              </w:rPr>
              <w:t>名称</w:t>
            </w:r>
          </w:p>
        </w:tc>
        <w:tc>
          <w:tcPr>
            <w:tcW w:w="5528"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检查</w:t>
            </w:r>
            <w:r>
              <w:rPr>
                <w:rFonts w:ascii="宋体" w:eastAsia="宋体" w:hAnsi="宋体" w:cs="Times New Roman"/>
                <w:b/>
                <w:sz w:val="24"/>
                <w:szCs w:val="24"/>
              </w:rPr>
              <w:t>项目</w:t>
            </w:r>
          </w:p>
        </w:tc>
        <w:tc>
          <w:tcPr>
            <w:tcW w:w="1326"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重要性</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5.1.1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场所</w:t>
            </w:r>
            <w:r>
              <w:rPr>
                <w:rFonts w:ascii="Times New Roman" w:eastAsia="宋体" w:hAnsi="Times New Roman" w:cs="Times New Roman"/>
                <w:color w:val="000000"/>
                <w:sz w:val="24"/>
                <w:szCs w:val="24"/>
              </w:rPr>
              <w:t>环境</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超过</w:t>
            </w:r>
            <w:r>
              <w:rPr>
                <w:rFonts w:ascii="Times New Roman" w:eastAsia="宋体" w:hAnsi="Times New Roman" w:cs="Times New Roman"/>
                <w:color w:val="000000"/>
                <w:sz w:val="24"/>
                <w:szCs w:val="24"/>
              </w:rPr>
              <w:t>200</w:t>
            </w:r>
            <w:r>
              <w:rPr>
                <w:rFonts w:ascii="Calibri" w:eastAsia="宋体" w:hAnsi="Calibri" w:cs="Times New Roman" w:hint="eastAsia"/>
                <w:color w:val="000000"/>
                <w:sz w:val="24"/>
                <w:szCs w:val="24"/>
              </w:rPr>
              <w:t>平方米的实验楼层应具有至少两处紧急出口，</w:t>
            </w:r>
            <w:r>
              <w:rPr>
                <w:rFonts w:ascii="Times New Roman" w:eastAsia="宋体" w:hAnsi="Times New Roman" w:cs="Times New Roman"/>
                <w:color w:val="000000"/>
                <w:sz w:val="24"/>
                <w:szCs w:val="24"/>
              </w:rPr>
              <w:t>75</w:t>
            </w:r>
            <w:r>
              <w:rPr>
                <w:rFonts w:ascii="Calibri" w:eastAsia="宋体" w:hAnsi="Calibri" w:cs="Times New Roman" w:hint="eastAsia"/>
                <w:color w:val="000000"/>
                <w:sz w:val="24"/>
                <w:szCs w:val="24"/>
              </w:rPr>
              <w:t>平方米以上实验室要有两扇门</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5.1.2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场所</w:t>
            </w:r>
            <w:r>
              <w:rPr>
                <w:rFonts w:ascii="Times New Roman" w:eastAsia="宋体" w:hAnsi="Times New Roman" w:cs="Times New Roman"/>
                <w:color w:val="000000"/>
                <w:sz w:val="24"/>
                <w:szCs w:val="24"/>
              </w:rPr>
              <w:t>环境</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每个房间门口挂有安全信息牌，信息包括安全责任人、涉及危险类别、防护措施和有效的应急联系电话等，并及时更新</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3</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5.1.4</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场所环境</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实验室消防通道通畅，公共场所、通道不堆放仪器、物品</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4</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5.1.7</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场所</w:t>
            </w:r>
            <w:r>
              <w:rPr>
                <w:rFonts w:ascii="Times New Roman" w:eastAsia="宋体" w:hAnsi="Times New Roman" w:cs="Times New Roman"/>
                <w:color w:val="000000"/>
                <w:sz w:val="24"/>
                <w:szCs w:val="24"/>
              </w:rPr>
              <w:t>环境</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所有房间均须有应急备用钥匙，集中存放、专人管理，应急时方便取用</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5</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5.1.9</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场所</w:t>
            </w:r>
            <w:r>
              <w:rPr>
                <w:rFonts w:ascii="Times New Roman" w:eastAsia="宋体" w:hAnsi="Times New Roman" w:cs="Times New Roman"/>
                <w:color w:val="000000"/>
                <w:sz w:val="24"/>
                <w:szCs w:val="24"/>
              </w:rPr>
              <w:t>环境</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实验室内不得随意搭建阁楼，</w:t>
            </w:r>
            <w:proofErr w:type="gramStart"/>
            <w:r>
              <w:rPr>
                <w:rFonts w:ascii="Calibri" w:eastAsia="宋体" w:hAnsi="Calibri" w:cs="Times New Roman" w:hint="eastAsia"/>
                <w:color w:val="000000"/>
                <w:sz w:val="24"/>
                <w:szCs w:val="24"/>
              </w:rPr>
              <w:t>操作区</w:t>
            </w:r>
            <w:proofErr w:type="gramEnd"/>
            <w:r>
              <w:rPr>
                <w:rFonts w:ascii="Calibri" w:eastAsia="宋体" w:hAnsi="Calibri" w:cs="Times New Roman" w:hint="eastAsia"/>
                <w:color w:val="000000"/>
                <w:sz w:val="24"/>
                <w:szCs w:val="24"/>
              </w:rPr>
              <w:t>层高不低于</w:t>
            </w:r>
            <w:r>
              <w:rPr>
                <w:rFonts w:ascii="Times New Roman" w:eastAsia="宋体" w:hAnsi="Times New Roman" w:cs="Times New Roman"/>
                <w:color w:val="000000"/>
                <w:sz w:val="24"/>
                <w:szCs w:val="24"/>
              </w:rPr>
              <w:t>2</w:t>
            </w:r>
            <w:r>
              <w:rPr>
                <w:rFonts w:ascii="Calibri" w:eastAsia="宋体" w:hAnsi="Calibri" w:cs="Times New Roman" w:hint="eastAsia"/>
                <w:color w:val="000000"/>
                <w:sz w:val="24"/>
                <w:szCs w:val="24"/>
              </w:rPr>
              <w:t>米</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6</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5.3.1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卫生</w:t>
            </w:r>
            <w:r>
              <w:rPr>
                <w:rFonts w:ascii="Times New Roman" w:eastAsia="宋体" w:hAnsi="Times New Roman" w:cs="Times New Roman"/>
                <w:color w:val="000000"/>
                <w:sz w:val="24"/>
                <w:szCs w:val="24"/>
              </w:rPr>
              <w:t>与日常管理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有毒有害实验区与学习区明确分开，布局合理；实验区不准饮食</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7</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5.3.2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卫生</w:t>
            </w:r>
            <w:r>
              <w:rPr>
                <w:rFonts w:ascii="Times New Roman" w:eastAsia="宋体" w:hAnsi="Times New Roman" w:cs="Times New Roman"/>
                <w:color w:val="000000"/>
                <w:sz w:val="24"/>
                <w:szCs w:val="24"/>
              </w:rPr>
              <w:t>与日常管理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实验室物品摆放有序，卫生状况良好；实验完毕物品</w:t>
            </w:r>
            <w:r>
              <w:rPr>
                <w:rFonts w:ascii="Calibri" w:eastAsia="宋体" w:hAnsi="Calibri" w:cs="Times New Roman" w:hint="eastAsia"/>
                <w:color w:val="000000"/>
                <w:sz w:val="24"/>
                <w:szCs w:val="24"/>
              </w:rPr>
              <w:lastRenderedPageBreak/>
              <w:t>归位</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8</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5.4.2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场所</w:t>
            </w:r>
            <w:r>
              <w:rPr>
                <w:rFonts w:ascii="Times New Roman" w:eastAsia="宋体" w:hAnsi="Times New Roman" w:cs="Times New Roman"/>
                <w:color w:val="000000"/>
                <w:sz w:val="24"/>
                <w:szCs w:val="24"/>
              </w:rPr>
              <w:t>其它安全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危险性实验室配备了急救药箱，药箱</w:t>
            </w:r>
            <w:proofErr w:type="gramStart"/>
            <w:r>
              <w:rPr>
                <w:rFonts w:ascii="Calibri" w:eastAsia="宋体" w:hAnsi="Calibri" w:cs="Times New Roman" w:hint="eastAsia"/>
                <w:color w:val="000000"/>
                <w:sz w:val="24"/>
                <w:szCs w:val="24"/>
              </w:rPr>
              <w:t>不</w:t>
            </w:r>
            <w:proofErr w:type="gramEnd"/>
            <w:r>
              <w:rPr>
                <w:rFonts w:ascii="Calibri" w:eastAsia="宋体" w:hAnsi="Calibri" w:cs="Times New Roman" w:hint="eastAsia"/>
                <w:color w:val="000000"/>
                <w:sz w:val="24"/>
                <w:szCs w:val="24"/>
              </w:rPr>
              <w:t>上锁、药品在保质期内</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9</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5.4.4</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场所</w:t>
            </w:r>
            <w:r>
              <w:rPr>
                <w:rFonts w:ascii="Times New Roman" w:eastAsia="宋体" w:hAnsi="Times New Roman" w:cs="Times New Roman"/>
                <w:color w:val="000000"/>
                <w:sz w:val="24"/>
                <w:szCs w:val="24"/>
              </w:rPr>
              <w:t>其它安全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实验室内不存放或烧煮食物、饮食，无吸烟现象</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10</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Calibri" w:eastAsia="宋体" w:hAnsi="Calibri" w:cs="Times New Roman" w:hint="eastAsia"/>
                <w:color w:val="000000"/>
                <w:sz w:val="24"/>
                <w:szCs w:val="24"/>
              </w:rPr>
              <w:t>6.1.2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消防</w:t>
            </w:r>
            <w:r>
              <w:rPr>
                <w:rFonts w:ascii="Times New Roman" w:eastAsia="宋体" w:hAnsi="Times New Roman" w:cs="Times New Roman"/>
                <w:color w:val="000000"/>
                <w:sz w:val="24"/>
                <w:szCs w:val="24"/>
              </w:rPr>
              <w:t>设施</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灭火器在有效期内（压力指针位置正常等），安全销（拉针）正常，瓶身无破损、腐蚀</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Calibri" w:eastAsia="宋体" w:hAnsi="Calibri" w:cs="Times New Roman" w:hint="eastAsia"/>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Calibri" w:eastAsia="宋体" w:hAnsi="Calibri" w:cs="Times New Roman" w:hint="eastAsia"/>
                <w:color w:val="000000"/>
                <w:sz w:val="24"/>
                <w:szCs w:val="24"/>
              </w:rPr>
              <w:t>6.2.1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应急喷淋与洗眼装置</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存在可能受到化学和生物伤害的实验区域，需配置应急喷淋和洗眼装置，走廊有</w:t>
            </w:r>
            <w:proofErr w:type="gramStart"/>
            <w:r>
              <w:rPr>
                <w:rFonts w:ascii="Calibri" w:eastAsia="宋体" w:hAnsi="Calibri" w:cs="Times New Roman" w:hint="eastAsia"/>
                <w:color w:val="000000"/>
                <w:sz w:val="24"/>
                <w:szCs w:val="24"/>
              </w:rPr>
              <w:t>显著引导</w:t>
            </w:r>
            <w:proofErr w:type="gramEnd"/>
            <w:r>
              <w:rPr>
                <w:rFonts w:ascii="Calibri" w:eastAsia="宋体" w:hAnsi="Calibri" w:cs="Times New Roman" w:hint="eastAsia"/>
                <w:color w:val="000000"/>
                <w:sz w:val="24"/>
                <w:szCs w:val="24"/>
              </w:rPr>
              <w:t>标识</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Calibri" w:eastAsia="宋体" w:hAnsi="Calibri" w:cs="Times New Roman" w:hint="eastAsia"/>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12</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Calibri" w:eastAsia="宋体" w:hAnsi="Calibri" w:cs="Times New Roman" w:hint="eastAsia"/>
                <w:color w:val="000000"/>
                <w:sz w:val="24"/>
                <w:szCs w:val="24"/>
              </w:rPr>
              <w:t>6.3.1.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通风</w:t>
            </w:r>
            <w:r>
              <w:rPr>
                <w:rFonts w:ascii="Times New Roman" w:eastAsia="宋体" w:hAnsi="Times New Roman" w:cs="Times New Roman"/>
                <w:color w:val="000000"/>
                <w:sz w:val="24"/>
                <w:szCs w:val="24"/>
              </w:rPr>
              <w:t>系统</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有需要的实验场所配备符合要求的通风系统，管道风机需防腐，使用可燃气体场所应采用防爆风机</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Calibri" w:eastAsia="宋体" w:hAnsi="Calibri" w:cs="Times New Roman" w:hint="eastAsia"/>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13</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Calibri" w:eastAsia="宋体" w:hAnsi="Calibri" w:cs="Times New Roman" w:hint="eastAsia"/>
                <w:color w:val="000000"/>
                <w:sz w:val="24"/>
                <w:szCs w:val="24"/>
              </w:rPr>
              <w:t>6.3.3</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通风</w:t>
            </w:r>
            <w:r>
              <w:rPr>
                <w:rFonts w:ascii="Times New Roman" w:eastAsia="宋体" w:hAnsi="Times New Roman" w:cs="Times New Roman"/>
                <w:color w:val="000000"/>
                <w:sz w:val="24"/>
                <w:szCs w:val="24"/>
              </w:rPr>
              <w:t>系统</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根据需要在通风橱管路上安装有毒有害气体的吸附或处理装置（如活性炭、光催化分解、水喷淋等）</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Calibri" w:eastAsia="宋体" w:hAnsi="Calibri" w:cs="Times New Roman" w:hint="eastAsia"/>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14</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Calibri" w:eastAsia="宋体" w:hAnsi="Calibri" w:cs="Times New Roman" w:hint="eastAsia"/>
                <w:color w:val="000000"/>
                <w:sz w:val="24"/>
                <w:szCs w:val="24"/>
              </w:rPr>
              <w:t>6.5.1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实验室</w:t>
            </w:r>
            <w:r>
              <w:rPr>
                <w:rFonts w:ascii="Times New Roman" w:eastAsia="宋体" w:hAnsi="Times New Roman" w:cs="Times New Roman"/>
                <w:color w:val="000000"/>
                <w:sz w:val="24"/>
                <w:szCs w:val="24"/>
              </w:rPr>
              <w:t>防爆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防爆实验室需符合防爆设计要求，安装防爆开关、防爆灯等，安装必要的气体报警系统、监控系统及断电断水应急系统等</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15</w:t>
            </w:r>
          </w:p>
        </w:tc>
        <w:tc>
          <w:tcPr>
            <w:tcW w:w="851"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Times New Roman" w:eastAsia="宋体" w:hAnsi="Times New Roman" w:cs="Times New Roman"/>
                <w:color w:val="000000"/>
                <w:sz w:val="24"/>
                <w:szCs w:val="24"/>
              </w:rPr>
              <w:t>7.1.1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用电</w:t>
            </w:r>
            <w:r>
              <w:rPr>
                <w:rFonts w:ascii="Times New Roman" w:eastAsia="宋体" w:hAnsi="Times New Roman" w:cs="Times New Roman"/>
                <w:color w:val="000000"/>
                <w:sz w:val="24"/>
                <w:szCs w:val="24"/>
              </w:rPr>
              <w:t>基础安全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实验室电容量、插头插座与用电设备功率需匹配，不得私自改装；电源插座</w:t>
            </w:r>
            <w:proofErr w:type="gramStart"/>
            <w:r>
              <w:rPr>
                <w:rFonts w:ascii="Calibri" w:eastAsia="宋体" w:hAnsi="Calibri" w:cs="Times New Roman" w:hint="eastAsia"/>
                <w:color w:val="000000"/>
                <w:sz w:val="24"/>
                <w:szCs w:val="24"/>
              </w:rPr>
              <w:t>须固定</w:t>
            </w:r>
            <w:proofErr w:type="gramEnd"/>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16</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7.1.4</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用电</w:t>
            </w:r>
            <w:r>
              <w:rPr>
                <w:rFonts w:ascii="Times New Roman" w:eastAsia="宋体" w:hAnsi="Times New Roman" w:cs="Times New Roman"/>
                <w:color w:val="000000"/>
                <w:sz w:val="24"/>
                <w:szCs w:val="24"/>
              </w:rPr>
              <w:t>基础安全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禁止多个接线板串接供电，接线板不宜直接置于地面</w:t>
            </w:r>
          </w:p>
        </w:tc>
        <w:tc>
          <w:tcPr>
            <w:tcW w:w="1326" w:type="dxa"/>
            <w:shd w:val="clear" w:color="auto" w:fill="auto"/>
            <w:tcMar>
              <w:left w:w="45" w:type="dxa"/>
              <w:right w:w="45" w:type="dxa"/>
            </w:tcMar>
            <w:vAlign w:val="center"/>
          </w:tcPr>
          <w:p w:rsidR="00D366F4" w:rsidRDefault="00D366F4">
            <w:pPr>
              <w:spacing w:line="320" w:lineRule="exact"/>
              <w:jc w:val="center"/>
              <w:rPr>
                <w:rFonts w:ascii="Times New Roman" w:eastAsia="宋体" w:hAnsi="Times New Roman" w:cs="Times New Roman"/>
                <w:color w:val="000000"/>
                <w:sz w:val="24"/>
                <w:szCs w:val="24"/>
              </w:rPr>
            </w:pP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17</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7.1.11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用电</w:t>
            </w:r>
            <w:r>
              <w:rPr>
                <w:rFonts w:ascii="Times New Roman" w:eastAsia="宋体" w:hAnsi="Times New Roman" w:cs="Times New Roman"/>
                <w:color w:val="000000"/>
                <w:sz w:val="24"/>
                <w:szCs w:val="24"/>
              </w:rPr>
              <w:t>基础安全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插座、插头、接线板为国家质量认证的合格产品，无烧焦变形、破损现象</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18</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7.2.2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用水</w:t>
            </w:r>
            <w:r>
              <w:rPr>
                <w:rFonts w:ascii="Times New Roman" w:eastAsia="宋体" w:hAnsi="Times New Roman" w:cs="Times New Roman"/>
                <w:color w:val="000000"/>
                <w:sz w:val="24"/>
                <w:szCs w:val="24"/>
              </w:rPr>
              <w:t>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各类连接管无老化破损（特别是冷却冷凝系统的橡胶管接口处）</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19</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7.3.2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个人</w:t>
            </w:r>
            <w:r>
              <w:rPr>
                <w:rFonts w:ascii="Times New Roman" w:eastAsia="宋体" w:hAnsi="Times New Roman" w:cs="Times New Roman"/>
                <w:color w:val="000000"/>
                <w:sz w:val="24"/>
                <w:szCs w:val="24"/>
              </w:rPr>
              <w:t>防护</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按需要佩戴防护眼镜（如进行化学实验、有危险的机械操作等）</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20</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7.3.4</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个人</w:t>
            </w:r>
            <w:r>
              <w:rPr>
                <w:rFonts w:ascii="Times New Roman" w:eastAsia="宋体" w:hAnsi="Times New Roman" w:cs="Times New Roman"/>
                <w:color w:val="000000"/>
                <w:sz w:val="24"/>
                <w:szCs w:val="24"/>
              </w:rPr>
              <w:t>防护</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特殊场所按需佩戴安全帽、防护帽，长发不散露在外。操作机床等旋转设备时，</w:t>
            </w:r>
            <w:proofErr w:type="gramStart"/>
            <w:r>
              <w:rPr>
                <w:rFonts w:ascii="Calibri" w:eastAsia="宋体" w:hAnsi="Calibri" w:cs="Times New Roman" w:hint="eastAsia"/>
                <w:color w:val="000000"/>
                <w:sz w:val="24"/>
                <w:szCs w:val="24"/>
              </w:rPr>
              <w:t>不</w:t>
            </w:r>
            <w:proofErr w:type="gramEnd"/>
            <w:r>
              <w:rPr>
                <w:rFonts w:ascii="Calibri" w:eastAsia="宋体" w:hAnsi="Calibri" w:cs="Times New Roman" w:hint="eastAsia"/>
                <w:color w:val="000000"/>
                <w:sz w:val="24"/>
                <w:szCs w:val="24"/>
              </w:rPr>
              <w:t>穿戴长围巾、丝巾、领带等</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7.3.5</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个人</w:t>
            </w:r>
            <w:r>
              <w:rPr>
                <w:rFonts w:ascii="Times New Roman" w:eastAsia="宋体" w:hAnsi="Times New Roman" w:cs="Times New Roman"/>
                <w:color w:val="000000"/>
                <w:sz w:val="24"/>
                <w:szCs w:val="24"/>
              </w:rPr>
              <w:t>防护</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按需要佩戴防护手套（涉及不同的有害化学物质、病原微生物、高温和低温等），并正确选择不同种类和材质的手套</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22</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7.3.6</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个人</w:t>
            </w:r>
            <w:r>
              <w:rPr>
                <w:rFonts w:ascii="Times New Roman" w:eastAsia="宋体" w:hAnsi="Times New Roman" w:cs="Times New Roman"/>
                <w:color w:val="000000"/>
                <w:sz w:val="24"/>
                <w:szCs w:val="24"/>
              </w:rPr>
              <w:t>防护</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在特殊的实验室配备和使用呼吸器或面罩（如有挥发性毒物、溅射危险等），并正确选择种类；呼吸器或面罩在有效期内，不用时须密封放置</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23</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7.4.1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其它</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危险性实验（如高温、高压、高速运转等）时必须有两人在场</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24</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7.4.2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其它</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实验时不能脱岗，通宵实验须两人在场并有事先审批制度</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25</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7.4.4</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其它</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实验结束后物品归位，保持桌面整洁</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26</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8.3.2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实验操作安全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制定危险实验、危险化工工艺指导书，上墙或便于取阅；按照指导书进行实验</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27</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8.3.3</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实验操作安全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建立针对特殊危险实验的应急预案，方便取阅；实验人员熟悉所涉及的危险性及应急处理措施</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bl>
    <w:p w:rsidR="00D366F4" w:rsidRDefault="00D366F4">
      <w:pPr>
        <w:spacing w:line="500" w:lineRule="exact"/>
        <w:ind w:left="360" w:firstLineChars="200" w:firstLine="480"/>
        <w:jc w:val="left"/>
        <w:rPr>
          <w:rFonts w:ascii="仿宋" w:eastAsia="仿宋" w:hAnsi="仿宋" w:cs="Times New Roman"/>
          <w:sz w:val="24"/>
          <w:szCs w:val="24"/>
        </w:rPr>
      </w:pPr>
    </w:p>
    <w:p w:rsidR="00D366F4" w:rsidRDefault="008D7F00">
      <w:pPr>
        <w:spacing w:line="500" w:lineRule="exact"/>
        <w:ind w:left="360"/>
        <w:jc w:val="center"/>
        <w:rPr>
          <w:rFonts w:ascii="仿宋_GB2312" w:eastAsia="仿宋_GB2312" w:hAnsi="仿宋" w:cs="Times New Roman"/>
          <w:b/>
          <w:bCs/>
          <w:sz w:val="32"/>
          <w:szCs w:val="32"/>
        </w:rPr>
      </w:pPr>
      <w:r>
        <w:rPr>
          <w:rFonts w:ascii="仿宋_GB2312" w:eastAsia="仿宋_GB2312" w:hAnsi="仿宋" w:cs="Times New Roman" w:hint="eastAsia"/>
          <w:b/>
          <w:bCs/>
          <w:sz w:val="32"/>
          <w:szCs w:val="32"/>
        </w:rPr>
        <w:lastRenderedPageBreak/>
        <w:t>三、危险源的共性管理问题</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1843"/>
        <w:gridCol w:w="5528"/>
        <w:gridCol w:w="1326"/>
      </w:tblGrid>
      <w:tr w:rsidR="00D366F4">
        <w:tc>
          <w:tcPr>
            <w:tcW w:w="562"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序号</w:t>
            </w:r>
          </w:p>
        </w:tc>
        <w:tc>
          <w:tcPr>
            <w:tcW w:w="851"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编号</w:t>
            </w:r>
          </w:p>
        </w:tc>
        <w:tc>
          <w:tcPr>
            <w:tcW w:w="1843"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小类</w:t>
            </w:r>
            <w:r>
              <w:rPr>
                <w:rFonts w:ascii="宋体" w:eastAsia="宋体" w:hAnsi="宋体" w:cs="Times New Roman"/>
                <w:b/>
                <w:sz w:val="24"/>
                <w:szCs w:val="24"/>
              </w:rPr>
              <w:t>名称</w:t>
            </w:r>
          </w:p>
        </w:tc>
        <w:tc>
          <w:tcPr>
            <w:tcW w:w="5528"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检查</w:t>
            </w:r>
            <w:r>
              <w:rPr>
                <w:rFonts w:ascii="宋体" w:eastAsia="宋体" w:hAnsi="宋体" w:cs="Times New Roman"/>
                <w:b/>
                <w:sz w:val="24"/>
                <w:szCs w:val="24"/>
              </w:rPr>
              <w:t>项目</w:t>
            </w:r>
          </w:p>
        </w:tc>
        <w:tc>
          <w:tcPr>
            <w:tcW w:w="1326"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重要性</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4.1.1</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危险源</w:t>
            </w:r>
            <w:r>
              <w:rPr>
                <w:rFonts w:ascii="宋体" w:eastAsia="宋体" w:hAnsi="宋体" w:cs="Times New Roman"/>
                <w:sz w:val="24"/>
                <w:szCs w:val="24"/>
              </w:rPr>
              <w:t>辨识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建立了实验室安全危险源清单，内容包括涉及单位、房间、类别、数量、责任人等信息</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bCs/>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4.1.3</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危险源</w:t>
            </w:r>
            <w:r>
              <w:rPr>
                <w:rFonts w:ascii="宋体" w:eastAsia="宋体" w:hAnsi="宋体" w:cs="Times New Roman"/>
                <w:sz w:val="24"/>
                <w:szCs w:val="24"/>
              </w:rPr>
              <w:t>辨识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涉及剧毒品、病原微生物、放射性同位素、强磁等高危场所，具备符合要求的软硬件设施，并有明显的警示标识</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bCs/>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3</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4.3.3</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隐患整改</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如有重大隐患，实验室应立即停止实验活动，采取相应防范措施或整改完成后方能恢复实验</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bCs/>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4</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Calibri" w:eastAsia="宋体" w:hAnsi="Calibri" w:cs="Times New Roman" w:hint="eastAsia"/>
                <w:color w:val="000000"/>
                <w:sz w:val="24"/>
                <w:szCs w:val="24"/>
              </w:rPr>
              <w:t>6.4.1</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门禁</w:t>
            </w:r>
            <w:r>
              <w:rPr>
                <w:rFonts w:ascii="宋体" w:eastAsia="宋体" w:hAnsi="宋体" w:cs="Times New Roman"/>
                <w:sz w:val="24"/>
                <w:szCs w:val="24"/>
              </w:rPr>
              <w:t>监控</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在剧毒品、病原微生物，特种设备和放射源存放点等重点场所安装门禁和监控设施，运转正常，有专人管理</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bl>
    <w:p w:rsidR="00D366F4" w:rsidRDefault="00D366F4">
      <w:pPr>
        <w:spacing w:line="500" w:lineRule="exact"/>
        <w:ind w:left="360"/>
        <w:jc w:val="center"/>
        <w:rPr>
          <w:rFonts w:ascii="仿宋_GB2312" w:eastAsia="仿宋_GB2312" w:hAnsi="仿宋" w:cs="Times New Roman"/>
          <w:b/>
          <w:bCs/>
          <w:sz w:val="32"/>
          <w:szCs w:val="32"/>
        </w:rPr>
      </w:pPr>
    </w:p>
    <w:p w:rsidR="00D366F4" w:rsidRDefault="008D7F00">
      <w:pPr>
        <w:spacing w:line="500" w:lineRule="exact"/>
        <w:ind w:left="360"/>
        <w:jc w:val="center"/>
        <w:rPr>
          <w:rFonts w:ascii="仿宋_GB2312" w:eastAsia="仿宋_GB2312" w:hAnsi="仿宋" w:cs="Times New Roman"/>
          <w:b/>
          <w:bCs/>
          <w:sz w:val="32"/>
          <w:szCs w:val="32"/>
        </w:rPr>
      </w:pPr>
      <w:r>
        <w:rPr>
          <w:rFonts w:ascii="仿宋_GB2312" w:eastAsia="仿宋_GB2312" w:hAnsi="仿宋" w:cs="Times New Roman" w:hint="eastAsia"/>
          <w:b/>
          <w:bCs/>
          <w:sz w:val="32"/>
          <w:szCs w:val="32"/>
        </w:rPr>
        <w:t>四、化学品安全</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1843"/>
        <w:gridCol w:w="5528"/>
        <w:gridCol w:w="1326"/>
      </w:tblGrid>
      <w:tr w:rsidR="00D366F4">
        <w:tc>
          <w:tcPr>
            <w:tcW w:w="562"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序号</w:t>
            </w:r>
          </w:p>
        </w:tc>
        <w:tc>
          <w:tcPr>
            <w:tcW w:w="851"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编号</w:t>
            </w:r>
          </w:p>
        </w:tc>
        <w:tc>
          <w:tcPr>
            <w:tcW w:w="1843"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小类</w:t>
            </w:r>
            <w:r>
              <w:rPr>
                <w:rFonts w:ascii="宋体" w:eastAsia="宋体" w:hAnsi="宋体" w:cs="Times New Roman"/>
                <w:b/>
                <w:sz w:val="24"/>
                <w:szCs w:val="24"/>
              </w:rPr>
              <w:t>名称</w:t>
            </w:r>
          </w:p>
        </w:tc>
        <w:tc>
          <w:tcPr>
            <w:tcW w:w="5528"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检查</w:t>
            </w:r>
            <w:r>
              <w:rPr>
                <w:rFonts w:ascii="宋体" w:eastAsia="宋体" w:hAnsi="宋体" w:cs="Times New Roman"/>
                <w:b/>
                <w:sz w:val="24"/>
                <w:szCs w:val="24"/>
              </w:rPr>
              <w:t>项目</w:t>
            </w:r>
          </w:p>
        </w:tc>
        <w:tc>
          <w:tcPr>
            <w:tcW w:w="1326"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重要性</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8.1.2</w:t>
            </w:r>
          </w:p>
        </w:tc>
        <w:tc>
          <w:tcPr>
            <w:tcW w:w="1843" w:type="dxa"/>
            <w:shd w:val="clear" w:color="auto" w:fill="auto"/>
            <w:tcMar>
              <w:left w:w="45" w:type="dxa"/>
              <w:right w:w="45" w:type="dxa"/>
            </w:tcMar>
            <w:vAlign w:val="center"/>
          </w:tcPr>
          <w:p w:rsidR="00D366F4" w:rsidRDefault="008D7F00">
            <w:pPr>
              <w:widowControl/>
              <w:rPr>
                <w:rFonts w:ascii="Calibri" w:eastAsia="宋体" w:hAnsi="Calibri" w:cs="Times New Roman"/>
                <w:bCs/>
                <w:color w:val="000000"/>
                <w:szCs w:val="21"/>
              </w:rPr>
            </w:pPr>
            <w:r>
              <w:rPr>
                <w:rFonts w:ascii="Calibri" w:eastAsia="宋体" w:hAnsi="Calibri" w:cs="Times New Roman" w:hint="eastAsia"/>
                <w:bCs/>
                <w:color w:val="000000"/>
                <w:szCs w:val="21"/>
              </w:rPr>
              <w:t>危险化学品采购、验收、发放</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剧毒品、易制毒品、易制爆品、爆炸品购买前须经学校审批，报公安部门批准或备案后，向具有经营许可资质的单位购买。</w:t>
            </w:r>
            <w:proofErr w:type="gramStart"/>
            <w:r>
              <w:rPr>
                <w:rFonts w:ascii="Calibri" w:eastAsia="宋体" w:hAnsi="Calibri" w:cs="Times New Roman" w:hint="eastAsia"/>
                <w:color w:val="000000"/>
                <w:szCs w:val="21"/>
              </w:rPr>
              <w:t>校职能</w:t>
            </w:r>
            <w:proofErr w:type="gramEnd"/>
            <w:r>
              <w:rPr>
                <w:rFonts w:ascii="Calibri" w:eastAsia="宋体" w:hAnsi="Calibri" w:cs="Times New Roman" w:hint="eastAsia"/>
                <w:color w:val="000000"/>
                <w:szCs w:val="21"/>
              </w:rPr>
              <w:t>部门保留资料、建立档案。不得私自从外单位获取管控化学品</w:t>
            </w:r>
          </w:p>
        </w:tc>
        <w:tc>
          <w:tcPr>
            <w:tcW w:w="1326"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w:t>
            </w:r>
          </w:p>
          <w:p w:rsidR="00D366F4" w:rsidRDefault="008D7F00">
            <w:pPr>
              <w:spacing w:line="320" w:lineRule="exact"/>
              <w:jc w:val="center"/>
              <w:rPr>
                <w:rFonts w:ascii="Times New Roman" w:eastAsia="宋体" w:hAnsi="Times New Roman" w:cs="Times New Roman"/>
                <w:color w:val="000000"/>
                <w:sz w:val="24"/>
                <w:szCs w:val="24"/>
              </w:rPr>
            </w:pPr>
            <w:r>
              <w:rPr>
                <w:rFonts w:ascii="宋体" w:eastAsia="宋体" w:hAnsi="宋体" w:cs="Times New Roman" w:hint="eastAsia"/>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8.1.1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危险化学品采购、验收、发放</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一般危险化学品要向具有</w:t>
            </w:r>
            <w:proofErr w:type="gramStart"/>
            <w:r>
              <w:rPr>
                <w:rFonts w:ascii="Calibri" w:eastAsia="宋体" w:hAnsi="Calibri" w:cs="Times New Roman" w:hint="eastAsia"/>
                <w:color w:val="000000"/>
                <w:sz w:val="24"/>
                <w:szCs w:val="24"/>
              </w:rPr>
              <w:t>危化品</w:t>
            </w:r>
            <w:proofErr w:type="gramEnd"/>
            <w:r>
              <w:rPr>
                <w:rFonts w:ascii="Calibri" w:eastAsia="宋体" w:hAnsi="Calibri" w:cs="Times New Roman" w:hint="eastAsia"/>
                <w:color w:val="000000"/>
                <w:sz w:val="24"/>
                <w:szCs w:val="24"/>
              </w:rPr>
              <w:t>生产经营许可资质的单位购买</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3</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8.2.1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实验室化学试剂存放</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有实验室内化学品的动态使用台帐；建立本实验室危险化学品目录，并有危险化学品安全技术说明书（</w:t>
            </w:r>
            <w:r>
              <w:rPr>
                <w:rFonts w:ascii="Times New Roman" w:eastAsia="宋体" w:hAnsi="Times New Roman" w:cs="Times New Roman"/>
                <w:color w:val="000000"/>
                <w:sz w:val="24"/>
                <w:szCs w:val="24"/>
              </w:rPr>
              <w:t>MSDS</w:t>
            </w:r>
            <w:r>
              <w:rPr>
                <w:rFonts w:ascii="Calibri" w:eastAsia="宋体" w:hAnsi="Calibri" w:cs="Times New Roman" w:hint="eastAsia"/>
                <w:color w:val="000000"/>
                <w:sz w:val="24"/>
                <w:szCs w:val="24"/>
              </w:rPr>
              <w:t>）或安全周知卡，方便查阅</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4</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8.2.4</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实验室化学试剂存放</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实验室内存放的危险化学品总量原则上不应超过</w:t>
            </w:r>
            <w:r>
              <w:rPr>
                <w:rFonts w:ascii="Times New Roman" w:eastAsia="宋体" w:hAnsi="Times New Roman" w:cs="Times New Roman"/>
                <w:color w:val="000000"/>
                <w:sz w:val="24"/>
                <w:szCs w:val="24"/>
              </w:rPr>
              <w:t>100L</w:t>
            </w:r>
            <w:r>
              <w:rPr>
                <w:rFonts w:ascii="Calibri" w:eastAsia="宋体" w:hAnsi="Calibri" w:cs="Times New Roman" w:hint="eastAsia"/>
                <w:color w:val="000000"/>
                <w:sz w:val="24"/>
                <w:szCs w:val="24"/>
              </w:rPr>
              <w:t>或</w:t>
            </w:r>
            <w:r>
              <w:rPr>
                <w:rFonts w:ascii="Times New Roman" w:eastAsia="宋体" w:hAnsi="Times New Roman" w:cs="Times New Roman"/>
                <w:color w:val="000000"/>
                <w:sz w:val="24"/>
                <w:szCs w:val="24"/>
              </w:rPr>
              <w:t>100kg</w:t>
            </w:r>
            <w:r>
              <w:rPr>
                <w:rFonts w:ascii="Calibri" w:eastAsia="宋体" w:hAnsi="Calibri" w:cs="Times New Roman" w:hint="eastAsia"/>
                <w:color w:val="000000"/>
                <w:sz w:val="24"/>
                <w:szCs w:val="24"/>
              </w:rPr>
              <w:t>，其中易燃易爆性化学品的存放总量不应超过</w:t>
            </w:r>
            <w:r>
              <w:rPr>
                <w:rFonts w:ascii="Times New Roman" w:eastAsia="宋体" w:hAnsi="Times New Roman" w:cs="Times New Roman"/>
                <w:color w:val="000000"/>
                <w:sz w:val="24"/>
                <w:szCs w:val="24"/>
              </w:rPr>
              <w:t xml:space="preserve">50L </w:t>
            </w:r>
            <w:r>
              <w:rPr>
                <w:rFonts w:ascii="Calibri" w:eastAsia="宋体" w:hAnsi="Calibri" w:cs="Times New Roman" w:hint="eastAsia"/>
                <w:color w:val="000000"/>
                <w:sz w:val="24"/>
                <w:szCs w:val="24"/>
              </w:rPr>
              <w:t>或</w:t>
            </w:r>
            <w:r>
              <w:rPr>
                <w:rFonts w:ascii="Times New Roman" w:eastAsia="宋体" w:hAnsi="Times New Roman" w:cs="Times New Roman"/>
                <w:color w:val="000000"/>
                <w:sz w:val="24"/>
                <w:szCs w:val="24"/>
              </w:rPr>
              <w:t>50kg</w:t>
            </w:r>
            <w:r>
              <w:rPr>
                <w:rFonts w:ascii="Calibri" w:eastAsia="宋体" w:hAnsi="Calibri" w:cs="Times New Roman" w:hint="eastAsia"/>
                <w:color w:val="000000"/>
                <w:sz w:val="24"/>
                <w:szCs w:val="24"/>
              </w:rPr>
              <w:t>，且单一包装容器不应大于</w:t>
            </w:r>
            <w:r>
              <w:rPr>
                <w:rFonts w:ascii="Times New Roman" w:eastAsia="宋体" w:hAnsi="Times New Roman" w:cs="Times New Roman"/>
                <w:color w:val="000000"/>
                <w:sz w:val="24"/>
                <w:szCs w:val="24"/>
              </w:rPr>
              <w:t>20L</w:t>
            </w:r>
            <w:r>
              <w:rPr>
                <w:rFonts w:ascii="Calibri" w:eastAsia="宋体" w:hAnsi="Calibri" w:cs="Times New Roman" w:hint="eastAsia"/>
                <w:color w:val="000000"/>
                <w:sz w:val="24"/>
                <w:szCs w:val="24"/>
              </w:rPr>
              <w:t>或</w:t>
            </w:r>
            <w:r>
              <w:rPr>
                <w:rFonts w:ascii="Times New Roman" w:eastAsia="宋体" w:hAnsi="Times New Roman" w:cs="Times New Roman"/>
                <w:color w:val="000000"/>
                <w:sz w:val="24"/>
                <w:szCs w:val="24"/>
              </w:rPr>
              <w:t>20kg</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5</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8.2.6</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实验室化学试剂存放</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化学品包装物上应有符合规定的化学品标签；当化学品由原包装</w:t>
            </w:r>
            <w:proofErr w:type="gramStart"/>
            <w:r>
              <w:rPr>
                <w:rFonts w:ascii="Calibri" w:eastAsia="宋体" w:hAnsi="Calibri" w:cs="Times New Roman" w:hint="eastAsia"/>
                <w:color w:val="000000"/>
                <w:sz w:val="24"/>
                <w:szCs w:val="24"/>
              </w:rPr>
              <w:t>物转移</w:t>
            </w:r>
            <w:proofErr w:type="gramEnd"/>
            <w:r>
              <w:rPr>
                <w:rFonts w:ascii="Calibri" w:eastAsia="宋体" w:hAnsi="Calibri" w:cs="Times New Roman" w:hint="eastAsia"/>
                <w:color w:val="000000"/>
                <w:sz w:val="24"/>
                <w:szCs w:val="24"/>
              </w:rPr>
              <w:t>或分装到其他包装物内时，转移或分装后的包装物应及时重新粘贴标识。化学品标签脱落、模糊、腐蚀后应及时补上，如不能确认，则以废弃化学品处置</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6</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Cs w:val="21"/>
              </w:rPr>
            </w:pPr>
            <w:r>
              <w:rPr>
                <w:rFonts w:ascii="Times New Roman" w:eastAsia="宋体" w:hAnsi="Times New Roman" w:cs="Times New Roman"/>
                <w:color w:val="000000"/>
                <w:sz w:val="24"/>
                <w:szCs w:val="24"/>
              </w:rPr>
              <w:t>8.4.1</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剧毒品</w:t>
            </w:r>
            <w:r>
              <w:rPr>
                <w:rFonts w:ascii="宋体" w:eastAsia="宋体" w:hAnsi="宋体" w:cs="Times New Roman"/>
                <w:sz w:val="24"/>
                <w:szCs w:val="24"/>
              </w:rPr>
              <w:t>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Cs w:val="21"/>
              </w:rPr>
            </w:pPr>
            <w:r>
              <w:rPr>
                <w:rFonts w:ascii="Calibri" w:eastAsia="宋体" w:hAnsi="Calibri" w:cs="Times New Roman" w:hint="eastAsia"/>
                <w:color w:val="000000"/>
                <w:sz w:val="24"/>
                <w:szCs w:val="24"/>
              </w:rPr>
              <w:t>配备专门的保险柜并固定，实行双人双锁保管；对于具有高挥发性、低闪点的剧毒品应存放在具有防爆功能的冰箱内，并配备双锁；配备监控与报警装置</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7</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8.4.2</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剧毒品</w:t>
            </w:r>
            <w:r>
              <w:rPr>
                <w:rFonts w:ascii="宋体" w:eastAsia="宋体" w:hAnsi="宋体" w:cs="Times New Roman"/>
                <w:sz w:val="24"/>
                <w:szCs w:val="24"/>
              </w:rPr>
              <w:t>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执行双人收发、双人运输；应严格记录品种、规格以及购入、发放、退回的日期、单位及经手人、数量以及结存数量</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8</w:t>
            </w:r>
          </w:p>
        </w:tc>
        <w:tc>
          <w:tcPr>
            <w:tcW w:w="851"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Times New Roman" w:eastAsia="宋体" w:hAnsi="Times New Roman" w:cs="Times New Roman"/>
                <w:color w:val="000000"/>
                <w:sz w:val="24"/>
                <w:szCs w:val="24"/>
              </w:rPr>
              <w:t>8.4.3</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剧毒品</w:t>
            </w:r>
            <w:r>
              <w:rPr>
                <w:rFonts w:ascii="宋体" w:eastAsia="宋体" w:hAnsi="宋体" w:cs="Times New Roman"/>
                <w:sz w:val="24"/>
                <w:szCs w:val="24"/>
              </w:rPr>
              <w:t>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使用时有两人同时在场，且计量取用后立即放回保险柜，详细记载用途，双人签字</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lastRenderedPageBreak/>
              <w:t>9</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8.5.1</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其它</w:t>
            </w:r>
            <w:r>
              <w:rPr>
                <w:rFonts w:ascii="宋体" w:eastAsia="宋体" w:hAnsi="宋体" w:cs="Times New Roman"/>
                <w:sz w:val="24"/>
                <w:szCs w:val="24"/>
              </w:rPr>
              <w:t>管控化学品管理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易制毒品分类存放、专人保管，做好领取、使用、处置记录；其中第一类易制毒品实行</w:t>
            </w:r>
            <w:r>
              <w:rPr>
                <w:rFonts w:ascii="Times New Roman" w:eastAsia="宋体" w:hAnsi="Times New Roman" w:cs="Times New Roman"/>
                <w:color w:val="000000"/>
                <w:sz w:val="24"/>
                <w:szCs w:val="24"/>
              </w:rPr>
              <w:t>“</w:t>
            </w:r>
            <w:r>
              <w:rPr>
                <w:rFonts w:ascii="Calibri" w:eastAsia="宋体" w:hAnsi="Calibri" w:cs="Times New Roman" w:hint="eastAsia"/>
                <w:color w:val="000000"/>
                <w:sz w:val="24"/>
                <w:szCs w:val="24"/>
              </w:rPr>
              <w:t>五双</w:t>
            </w:r>
            <w:r>
              <w:rPr>
                <w:rFonts w:ascii="Times New Roman" w:eastAsia="宋体" w:hAnsi="Times New Roman" w:cs="Times New Roman"/>
                <w:color w:val="000000"/>
                <w:sz w:val="24"/>
                <w:szCs w:val="24"/>
              </w:rPr>
              <w:t>”</w:t>
            </w:r>
            <w:r>
              <w:rPr>
                <w:rFonts w:ascii="Calibri" w:eastAsia="宋体" w:hAnsi="Calibri" w:cs="Times New Roman" w:hint="eastAsia"/>
                <w:color w:val="000000"/>
                <w:sz w:val="24"/>
                <w:szCs w:val="24"/>
              </w:rPr>
              <w:t>管理制度</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10</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8.5.3</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其它</w:t>
            </w:r>
            <w:r>
              <w:rPr>
                <w:rFonts w:ascii="宋体" w:eastAsia="宋体" w:hAnsi="宋体" w:cs="Times New Roman"/>
                <w:sz w:val="24"/>
                <w:szCs w:val="24"/>
              </w:rPr>
              <w:t>管控化学品管理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爆炸品单独隔离，限量存储，使用、销毁按照公安部门的要求执行</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8.6.3</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实验</w:t>
            </w:r>
            <w:r>
              <w:rPr>
                <w:rFonts w:ascii="宋体" w:eastAsia="宋体" w:hAnsi="宋体" w:cs="Times New Roman"/>
                <w:sz w:val="24"/>
                <w:szCs w:val="24"/>
              </w:rPr>
              <w:t>气体管理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涉及剧毒、易燃易爆气体的场所，配有通风设施和合适的监控报警装置等，张贴必要的安全警示标识</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12</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8.5.2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其它</w:t>
            </w:r>
            <w:r>
              <w:rPr>
                <w:rFonts w:ascii="Times New Roman" w:eastAsia="宋体" w:hAnsi="Times New Roman" w:cs="Times New Roman"/>
                <w:color w:val="000000"/>
                <w:sz w:val="24"/>
                <w:szCs w:val="24"/>
              </w:rPr>
              <w:t>管控</w:t>
            </w:r>
            <w:r>
              <w:rPr>
                <w:rFonts w:ascii="Times New Roman" w:eastAsia="宋体" w:hAnsi="Times New Roman" w:cs="Times New Roman" w:hint="eastAsia"/>
                <w:color w:val="000000"/>
                <w:sz w:val="24"/>
                <w:szCs w:val="24"/>
              </w:rPr>
              <w:t>化学品</w:t>
            </w:r>
            <w:r>
              <w:rPr>
                <w:rFonts w:ascii="Times New Roman" w:eastAsia="宋体" w:hAnsi="Times New Roman" w:cs="Times New Roman"/>
                <w:color w:val="000000"/>
                <w:sz w:val="24"/>
                <w:szCs w:val="24"/>
              </w:rPr>
              <w:t>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proofErr w:type="gramStart"/>
            <w:r>
              <w:rPr>
                <w:rFonts w:ascii="Calibri" w:eastAsia="宋体" w:hAnsi="Calibri" w:cs="Times New Roman" w:hint="eastAsia"/>
                <w:color w:val="000000"/>
                <w:sz w:val="24"/>
                <w:szCs w:val="24"/>
              </w:rPr>
              <w:t>易制爆品分类</w:t>
            </w:r>
            <w:proofErr w:type="gramEnd"/>
            <w:r>
              <w:rPr>
                <w:rFonts w:ascii="Calibri" w:eastAsia="宋体" w:hAnsi="Calibri" w:cs="Times New Roman" w:hint="eastAsia"/>
                <w:color w:val="000000"/>
                <w:sz w:val="24"/>
                <w:szCs w:val="24"/>
              </w:rPr>
              <w:t>存放、专人保管，做好领取、使用、处置记录</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13</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8.5.4</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其它</w:t>
            </w:r>
            <w:r>
              <w:rPr>
                <w:rFonts w:ascii="Times New Roman" w:eastAsia="宋体" w:hAnsi="Times New Roman" w:cs="Times New Roman"/>
                <w:color w:val="000000"/>
                <w:sz w:val="24"/>
                <w:szCs w:val="24"/>
              </w:rPr>
              <w:t>管控</w:t>
            </w:r>
            <w:r>
              <w:rPr>
                <w:rFonts w:ascii="Times New Roman" w:eastAsia="宋体" w:hAnsi="Times New Roman" w:cs="Times New Roman" w:hint="eastAsia"/>
                <w:color w:val="000000"/>
                <w:sz w:val="24"/>
                <w:szCs w:val="24"/>
              </w:rPr>
              <w:t>化学品</w:t>
            </w:r>
            <w:r>
              <w:rPr>
                <w:rFonts w:ascii="Times New Roman" w:eastAsia="宋体" w:hAnsi="Times New Roman" w:cs="Times New Roman"/>
                <w:color w:val="000000"/>
                <w:sz w:val="24"/>
                <w:szCs w:val="24"/>
              </w:rPr>
              <w:t>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麻醉品和精神类药品储存于专门的保险柜中，有规范的领取、使用、</w:t>
            </w:r>
            <w:proofErr w:type="gramStart"/>
            <w:r>
              <w:rPr>
                <w:rFonts w:ascii="Calibri" w:eastAsia="宋体" w:hAnsi="Calibri" w:cs="Times New Roman" w:hint="eastAsia"/>
                <w:color w:val="000000"/>
                <w:sz w:val="24"/>
                <w:szCs w:val="24"/>
              </w:rPr>
              <w:t>处置台</w:t>
            </w:r>
            <w:proofErr w:type="gramEnd"/>
            <w:r>
              <w:rPr>
                <w:rFonts w:ascii="Calibri" w:eastAsia="宋体" w:hAnsi="Calibri" w:cs="Times New Roman" w:hint="eastAsia"/>
                <w:color w:val="000000"/>
                <w:sz w:val="24"/>
                <w:szCs w:val="24"/>
              </w:rPr>
              <w:t>账</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rPr>
          <w:trHeight w:val="370"/>
        </w:trPr>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14</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8.6.1</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Calibri" w:eastAsia="宋体" w:hAnsi="Calibri" w:cs="Times New Roman" w:hint="eastAsia"/>
                <w:bCs/>
                <w:color w:val="000000"/>
                <w:sz w:val="24"/>
                <w:szCs w:val="24"/>
              </w:rPr>
              <w:t>实验气体管理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从合格供应商处采购实验气体，建立气体</w:t>
            </w:r>
            <w:proofErr w:type="gramStart"/>
            <w:r>
              <w:rPr>
                <w:rFonts w:ascii="Calibri" w:eastAsia="宋体" w:hAnsi="Calibri" w:cs="Times New Roman" w:hint="eastAsia"/>
                <w:color w:val="000000"/>
                <w:sz w:val="24"/>
                <w:szCs w:val="24"/>
              </w:rPr>
              <w:t>钢瓶台</w:t>
            </w:r>
            <w:proofErr w:type="gramEnd"/>
            <w:r>
              <w:rPr>
                <w:rFonts w:ascii="Calibri" w:eastAsia="宋体" w:hAnsi="Calibri" w:cs="Times New Roman" w:hint="eastAsia"/>
                <w:color w:val="000000"/>
                <w:sz w:val="24"/>
                <w:szCs w:val="24"/>
              </w:rPr>
              <w:t>帐</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bCs/>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15</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8.6.7</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Calibri" w:eastAsia="宋体" w:hAnsi="Calibri" w:cs="Times New Roman" w:hint="eastAsia"/>
                <w:bCs/>
                <w:color w:val="000000"/>
                <w:sz w:val="24"/>
                <w:szCs w:val="24"/>
              </w:rPr>
              <w:t>实验气体管理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kern w:val="0"/>
                <w:szCs w:val="21"/>
              </w:rPr>
              <w:t>可燃性气体与氧气等助燃气体不混放</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16</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8.6.8</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Calibri" w:eastAsia="宋体" w:hAnsi="Calibri" w:cs="Times New Roman" w:hint="eastAsia"/>
                <w:bCs/>
                <w:color w:val="000000"/>
                <w:sz w:val="24"/>
                <w:szCs w:val="24"/>
              </w:rPr>
              <w:t>实验气体管理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气体管路连接正确、有标识，管路材质选择合适，无破损或老化现象，定期进行气体泄漏检查；存在多条气体管路的房间须张贴详细的管路图</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17</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8.6.10</w:t>
            </w:r>
          </w:p>
        </w:tc>
        <w:tc>
          <w:tcPr>
            <w:tcW w:w="1843"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bCs/>
                <w:color w:val="000000"/>
                <w:sz w:val="24"/>
                <w:szCs w:val="24"/>
              </w:rPr>
            </w:pPr>
            <w:r>
              <w:rPr>
                <w:rFonts w:ascii="Calibri" w:eastAsia="宋体" w:hAnsi="Calibri" w:cs="Times New Roman" w:hint="eastAsia"/>
                <w:bCs/>
                <w:color w:val="000000"/>
                <w:sz w:val="24"/>
                <w:szCs w:val="24"/>
              </w:rPr>
              <w:t>实验气体管理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无大量气体钢瓶堆放现象；每间实验室内存放的氧气和</w:t>
            </w:r>
            <w:proofErr w:type="gramStart"/>
            <w:r>
              <w:rPr>
                <w:rFonts w:ascii="Calibri" w:eastAsia="宋体" w:hAnsi="Calibri" w:cs="Times New Roman" w:hint="eastAsia"/>
                <w:color w:val="000000"/>
                <w:sz w:val="24"/>
                <w:szCs w:val="24"/>
              </w:rPr>
              <w:t>可</w:t>
            </w:r>
            <w:proofErr w:type="gramEnd"/>
            <w:r>
              <w:rPr>
                <w:rFonts w:ascii="Calibri" w:eastAsia="宋体" w:hAnsi="Calibri" w:cs="Times New Roman" w:hint="eastAsia"/>
                <w:color w:val="000000"/>
                <w:sz w:val="24"/>
                <w:szCs w:val="24"/>
              </w:rPr>
              <w:t>燃气体不宜超过一瓶，其他气瓶的存放，应控制在最小需求量；气体钢瓶不得放在走廊、大厅等公共场所</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18</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8.9.1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其它</w:t>
            </w:r>
            <w:r>
              <w:rPr>
                <w:rFonts w:ascii="Times New Roman" w:eastAsia="宋体" w:hAnsi="Times New Roman" w:cs="Times New Roman"/>
                <w:color w:val="000000"/>
                <w:sz w:val="24"/>
                <w:szCs w:val="24"/>
              </w:rPr>
              <w:t>化学</w:t>
            </w:r>
            <w:r>
              <w:rPr>
                <w:rFonts w:ascii="Times New Roman" w:eastAsia="宋体" w:hAnsi="Times New Roman" w:cs="Times New Roman" w:hint="eastAsia"/>
                <w:color w:val="000000"/>
                <w:sz w:val="24"/>
                <w:szCs w:val="24"/>
              </w:rPr>
              <w:t>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实验室有统一的试剂标签（用于配置试剂、合成品、样品等），信息包括名称、浓度、责任人、日期、储存条件等</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19</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8.9.4</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其它</w:t>
            </w:r>
            <w:r>
              <w:rPr>
                <w:rFonts w:ascii="Times New Roman" w:eastAsia="宋体" w:hAnsi="Times New Roman" w:cs="Times New Roman"/>
                <w:color w:val="000000"/>
                <w:sz w:val="24"/>
                <w:szCs w:val="24"/>
              </w:rPr>
              <w:t>化学</w:t>
            </w:r>
            <w:r>
              <w:rPr>
                <w:rFonts w:ascii="Times New Roman" w:eastAsia="宋体" w:hAnsi="Times New Roman" w:cs="Times New Roman" w:hint="eastAsia"/>
                <w:color w:val="000000"/>
                <w:sz w:val="24"/>
                <w:szCs w:val="24"/>
              </w:rPr>
              <w:t>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无使用饮料瓶存放试剂、样品的现象。如确需存放，必须撕去原包装纸，贴上统一的试剂标签</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20</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8.9.6</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其它</w:t>
            </w:r>
            <w:r>
              <w:rPr>
                <w:rFonts w:ascii="Times New Roman" w:eastAsia="宋体" w:hAnsi="Times New Roman" w:cs="Times New Roman"/>
                <w:color w:val="000000"/>
                <w:sz w:val="24"/>
                <w:szCs w:val="24"/>
              </w:rPr>
              <w:t>化学</w:t>
            </w:r>
            <w:r>
              <w:rPr>
                <w:rFonts w:ascii="Times New Roman" w:eastAsia="宋体" w:hAnsi="Times New Roman" w:cs="Times New Roman" w:hint="eastAsia"/>
                <w:color w:val="000000"/>
                <w:sz w:val="24"/>
                <w:szCs w:val="24"/>
              </w:rPr>
              <w:t>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用于浸泡玻璃器皿的酸缸、</w:t>
            </w:r>
            <w:proofErr w:type="gramStart"/>
            <w:r>
              <w:rPr>
                <w:rFonts w:ascii="Calibri" w:eastAsia="宋体" w:hAnsi="Calibri" w:cs="Times New Roman" w:hint="eastAsia"/>
                <w:color w:val="000000"/>
                <w:sz w:val="24"/>
                <w:szCs w:val="24"/>
              </w:rPr>
              <w:t>碱缸等</w:t>
            </w:r>
            <w:proofErr w:type="gramEnd"/>
            <w:r>
              <w:rPr>
                <w:rFonts w:ascii="Calibri" w:eastAsia="宋体" w:hAnsi="Calibri" w:cs="Times New Roman" w:hint="eastAsia"/>
                <w:color w:val="000000"/>
                <w:sz w:val="24"/>
                <w:szCs w:val="24"/>
              </w:rPr>
              <w:t>有盖子盖上、标签明确</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bl>
    <w:p w:rsidR="00D366F4" w:rsidRDefault="00D366F4">
      <w:pPr>
        <w:spacing w:line="500" w:lineRule="exact"/>
        <w:ind w:left="360"/>
        <w:jc w:val="center"/>
        <w:rPr>
          <w:rFonts w:ascii="仿宋_GB2312" w:eastAsia="仿宋_GB2312" w:hAnsi="仿宋" w:cs="Times New Roman"/>
          <w:b/>
          <w:bCs/>
          <w:sz w:val="32"/>
          <w:szCs w:val="32"/>
        </w:rPr>
      </w:pPr>
    </w:p>
    <w:p w:rsidR="00D366F4" w:rsidRDefault="008D7F00">
      <w:pPr>
        <w:spacing w:line="500" w:lineRule="exact"/>
        <w:ind w:left="360"/>
        <w:jc w:val="center"/>
        <w:rPr>
          <w:rFonts w:ascii="仿宋_GB2312" w:eastAsia="仿宋_GB2312" w:hAnsi="仿宋" w:cs="Times New Roman"/>
          <w:b/>
          <w:bCs/>
          <w:sz w:val="32"/>
          <w:szCs w:val="32"/>
        </w:rPr>
      </w:pPr>
      <w:r>
        <w:rPr>
          <w:rFonts w:ascii="仿宋_GB2312" w:eastAsia="仿宋_GB2312" w:hAnsi="仿宋" w:cs="Times New Roman" w:hint="eastAsia"/>
          <w:b/>
          <w:bCs/>
          <w:sz w:val="32"/>
          <w:szCs w:val="32"/>
        </w:rPr>
        <w:t>五、设备（含电器）安全</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1843"/>
        <w:gridCol w:w="5528"/>
        <w:gridCol w:w="1326"/>
      </w:tblGrid>
      <w:tr w:rsidR="00D366F4">
        <w:tc>
          <w:tcPr>
            <w:tcW w:w="562"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序号</w:t>
            </w:r>
          </w:p>
        </w:tc>
        <w:tc>
          <w:tcPr>
            <w:tcW w:w="851"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编号</w:t>
            </w:r>
          </w:p>
        </w:tc>
        <w:tc>
          <w:tcPr>
            <w:tcW w:w="1843"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小类</w:t>
            </w:r>
            <w:r>
              <w:rPr>
                <w:rFonts w:ascii="宋体" w:eastAsia="宋体" w:hAnsi="宋体" w:cs="Times New Roman"/>
                <w:b/>
                <w:sz w:val="24"/>
                <w:szCs w:val="24"/>
              </w:rPr>
              <w:t>名称</w:t>
            </w:r>
          </w:p>
        </w:tc>
        <w:tc>
          <w:tcPr>
            <w:tcW w:w="5528"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检查</w:t>
            </w:r>
            <w:r>
              <w:rPr>
                <w:rFonts w:ascii="宋体" w:eastAsia="宋体" w:hAnsi="宋体" w:cs="Times New Roman"/>
                <w:b/>
                <w:sz w:val="24"/>
                <w:szCs w:val="24"/>
              </w:rPr>
              <w:t>项目</w:t>
            </w:r>
          </w:p>
        </w:tc>
        <w:tc>
          <w:tcPr>
            <w:tcW w:w="1326"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重要性</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11.1.8</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仪器</w:t>
            </w:r>
            <w:r>
              <w:rPr>
                <w:rFonts w:ascii="Times New Roman" w:eastAsia="宋体" w:hAnsi="Times New Roman" w:cs="Times New Roman"/>
                <w:color w:val="000000"/>
                <w:sz w:val="24"/>
                <w:szCs w:val="24"/>
              </w:rPr>
              <w:t>设备常规管理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对于高温、高压、高速运动、电磁辐射等特殊设备，对使用者有培训要求，有安全警示标识和安全警示线（黄色），并配备相应安全防护设施</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2</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11.2.1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机械</w:t>
            </w:r>
            <w:r>
              <w:rPr>
                <w:rFonts w:ascii="Times New Roman" w:eastAsia="宋体" w:hAnsi="Times New Roman" w:cs="Times New Roman"/>
                <w:color w:val="000000"/>
                <w:sz w:val="24"/>
                <w:szCs w:val="24"/>
              </w:rPr>
              <w:t>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高速切割机械操作，工作前穿好工作服，戴好防护眼镜，衣袖口应扣紧，长发学生戴好工作帽。工作</w:t>
            </w:r>
            <w:proofErr w:type="gramStart"/>
            <w:r>
              <w:rPr>
                <w:rFonts w:ascii="Calibri" w:eastAsia="宋体" w:hAnsi="Calibri" w:cs="Times New Roman" w:hint="eastAsia"/>
                <w:color w:val="000000"/>
                <w:sz w:val="24"/>
                <w:szCs w:val="24"/>
              </w:rPr>
              <w:t>场所禁戴手套</w:t>
            </w:r>
            <w:proofErr w:type="gramEnd"/>
            <w:r>
              <w:rPr>
                <w:rFonts w:ascii="Calibri" w:eastAsia="宋体" w:hAnsi="Calibri" w:cs="Times New Roman" w:hint="eastAsia"/>
                <w:color w:val="000000"/>
                <w:sz w:val="24"/>
                <w:szCs w:val="24"/>
              </w:rPr>
              <w:t>、长围巾、领带、手镯等配饰物，</w:t>
            </w:r>
            <w:proofErr w:type="gramStart"/>
            <w:r>
              <w:rPr>
                <w:rFonts w:ascii="Calibri" w:eastAsia="宋体" w:hAnsi="Calibri" w:cs="Times New Roman" w:hint="eastAsia"/>
                <w:color w:val="000000"/>
                <w:sz w:val="24"/>
                <w:szCs w:val="24"/>
              </w:rPr>
              <w:t>禁穿拖</w:t>
            </w:r>
            <w:proofErr w:type="gramEnd"/>
            <w:r>
              <w:rPr>
                <w:rFonts w:ascii="Calibri" w:eastAsia="宋体" w:hAnsi="Calibri" w:cs="Times New Roman" w:hint="eastAsia"/>
                <w:color w:val="000000"/>
                <w:sz w:val="24"/>
                <w:szCs w:val="24"/>
              </w:rPr>
              <w:t>鞋、高跟鞋等</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bCs/>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3</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11.3.6</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电气</w:t>
            </w:r>
            <w:r>
              <w:rPr>
                <w:rFonts w:ascii="Times New Roman" w:eastAsia="宋体" w:hAnsi="Times New Roman" w:cs="Times New Roman"/>
                <w:color w:val="000000"/>
                <w:sz w:val="24"/>
                <w:szCs w:val="24"/>
              </w:rPr>
              <w:t>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高压、大电流等强电实验室要设定安全距离，按规定设置安全警示牌、安全信号灯、联动式警铃、门锁，有安全隔离装置或屏蔽遮栏（由金属制成，并可靠接地，高度不低于</w:t>
            </w:r>
            <w:r>
              <w:rPr>
                <w:rFonts w:ascii="Times New Roman" w:eastAsia="宋体" w:hAnsi="Times New Roman" w:cs="Times New Roman"/>
                <w:color w:val="000000"/>
                <w:sz w:val="24"/>
                <w:szCs w:val="24"/>
              </w:rPr>
              <w:t>2</w:t>
            </w:r>
            <w:r>
              <w:rPr>
                <w:rFonts w:ascii="Calibri" w:eastAsia="宋体" w:hAnsi="Calibri" w:cs="Times New Roman" w:hint="eastAsia"/>
                <w:color w:val="000000"/>
                <w:sz w:val="24"/>
                <w:szCs w:val="24"/>
              </w:rPr>
              <w:t>米）；控制室（控制台）应铺橡胶、绝缘垫等</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bCs/>
                <w:color w:val="000000"/>
                <w:sz w:val="24"/>
                <w:szCs w:val="24"/>
              </w:rPr>
              <w:t>*</w:t>
            </w:r>
          </w:p>
        </w:tc>
      </w:tr>
      <w:tr w:rsidR="00D366F4">
        <w:tc>
          <w:tcPr>
            <w:tcW w:w="562" w:type="dxa"/>
            <w:tcBorders>
              <w:bottom w:val="single" w:sz="4" w:space="0" w:color="auto"/>
            </w:tcBorders>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lastRenderedPageBreak/>
              <w:t>4</w:t>
            </w:r>
          </w:p>
        </w:tc>
        <w:tc>
          <w:tcPr>
            <w:tcW w:w="851" w:type="dxa"/>
            <w:tcBorders>
              <w:bottom w:val="single" w:sz="4" w:space="0" w:color="auto"/>
            </w:tcBorders>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11.3.10</w:t>
            </w:r>
          </w:p>
        </w:tc>
        <w:tc>
          <w:tcPr>
            <w:tcW w:w="1843" w:type="dxa"/>
            <w:tcBorders>
              <w:bottom w:val="single" w:sz="4" w:space="0" w:color="auto"/>
            </w:tcBorders>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电气</w:t>
            </w:r>
            <w:r>
              <w:rPr>
                <w:rFonts w:ascii="Times New Roman" w:eastAsia="宋体" w:hAnsi="Times New Roman" w:cs="Times New Roman"/>
                <w:color w:val="000000"/>
                <w:sz w:val="24"/>
                <w:szCs w:val="24"/>
              </w:rPr>
              <w:t>安全</w:t>
            </w:r>
          </w:p>
        </w:tc>
        <w:tc>
          <w:tcPr>
            <w:tcW w:w="5528" w:type="dxa"/>
            <w:tcBorders>
              <w:bottom w:val="single" w:sz="4" w:space="0" w:color="auto"/>
            </w:tcBorders>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断电操作时，在电源箱处有明显警示标识，以防他人随意合闸</w:t>
            </w:r>
          </w:p>
        </w:tc>
        <w:tc>
          <w:tcPr>
            <w:tcW w:w="1326" w:type="dxa"/>
            <w:tcBorders>
              <w:bottom w:val="single" w:sz="4" w:space="0" w:color="auto"/>
            </w:tcBorders>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tcBorders>
              <w:bottom w:val="single" w:sz="4" w:space="0" w:color="auto"/>
            </w:tcBorders>
            <w:shd w:val="clear" w:color="auto" w:fill="auto"/>
            <w:tcMar>
              <w:left w:w="45" w:type="dxa"/>
              <w:right w:w="45" w:type="dxa"/>
            </w:tcMar>
            <w:vAlign w:val="center"/>
          </w:tcPr>
          <w:p w:rsidR="00D366F4" w:rsidRDefault="008D7F00">
            <w:pPr>
              <w:jc w:val="center"/>
              <w:rPr>
                <w:rFonts w:ascii="Calibri" w:eastAsia="宋体" w:hAnsi="Calibri" w:cs="Times New Roman"/>
                <w:color w:val="000000"/>
                <w:sz w:val="22"/>
              </w:rPr>
            </w:pPr>
            <w:r>
              <w:rPr>
                <w:rFonts w:ascii="Calibri" w:eastAsia="宋体" w:hAnsi="Calibri" w:cs="Times New Roman" w:hint="eastAsia"/>
                <w:color w:val="000000"/>
                <w:sz w:val="22"/>
              </w:rPr>
              <w:t>5</w:t>
            </w:r>
          </w:p>
        </w:tc>
        <w:tc>
          <w:tcPr>
            <w:tcW w:w="851" w:type="dxa"/>
            <w:tcBorders>
              <w:bottom w:val="single" w:sz="4" w:space="0" w:color="auto"/>
            </w:tcBorders>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hAnsi="Times New Roman" w:cs="Times New Roman"/>
                <w:color w:val="000000"/>
                <w:sz w:val="24"/>
                <w:szCs w:val="24"/>
              </w:rPr>
              <w:t>11.5.2</w:t>
            </w:r>
          </w:p>
        </w:tc>
        <w:tc>
          <w:tcPr>
            <w:tcW w:w="1843" w:type="dxa"/>
            <w:tcBorders>
              <w:bottom w:val="single" w:sz="4" w:space="0" w:color="auto"/>
            </w:tcBorders>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粉尘</w:t>
            </w:r>
            <w:r>
              <w:rPr>
                <w:rFonts w:ascii="Times New Roman" w:hAnsi="Times New Roman" w:cs="Times New Roman"/>
                <w:color w:val="000000"/>
                <w:sz w:val="24"/>
                <w:szCs w:val="24"/>
              </w:rPr>
              <w:t>安全</w:t>
            </w:r>
          </w:p>
        </w:tc>
        <w:tc>
          <w:tcPr>
            <w:tcW w:w="5528" w:type="dxa"/>
            <w:tcBorders>
              <w:bottom w:val="single" w:sz="4" w:space="0" w:color="auto"/>
            </w:tcBorders>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hint="eastAsia"/>
                <w:color w:val="000000"/>
                <w:sz w:val="24"/>
                <w:szCs w:val="24"/>
              </w:rPr>
              <w:t>大量粉状物质的储存与使用场所，选用防爆型的电气设备、防爆灯、防爆电气开关，导线敷设应选用镀锌</w:t>
            </w:r>
            <w:proofErr w:type="gramStart"/>
            <w:r>
              <w:rPr>
                <w:rFonts w:hint="eastAsia"/>
                <w:color w:val="000000"/>
                <w:sz w:val="24"/>
                <w:szCs w:val="24"/>
              </w:rPr>
              <w:t>管气或水煤</w:t>
            </w:r>
            <w:proofErr w:type="gramEnd"/>
            <w:r>
              <w:rPr>
                <w:rFonts w:hint="eastAsia"/>
                <w:color w:val="000000"/>
                <w:sz w:val="24"/>
                <w:szCs w:val="24"/>
              </w:rPr>
              <w:t>管，必须达到整体防爆要求。</w:t>
            </w:r>
          </w:p>
        </w:tc>
        <w:tc>
          <w:tcPr>
            <w:tcW w:w="1326" w:type="dxa"/>
            <w:tcBorders>
              <w:bottom w:val="single" w:sz="4" w:space="0" w:color="auto"/>
            </w:tcBorders>
            <w:shd w:val="clear" w:color="auto" w:fill="auto"/>
            <w:tcMar>
              <w:left w:w="45" w:type="dxa"/>
              <w:right w:w="45" w:type="dxa"/>
            </w:tcMar>
            <w:vAlign w:val="center"/>
          </w:tcPr>
          <w:p w:rsidR="00D366F4" w:rsidRDefault="00D366F4">
            <w:pPr>
              <w:spacing w:line="320" w:lineRule="exact"/>
              <w:jc w:val="center"/>
              <w:rPr>
                <w:rFonts w:ascii="Times New Roman" w:eastAsia="宋体" w:hAnsi="Times New Roman" w:cs="Times New Roman"/>
                <w:color w:val="000000"/>
                <w:sz w:val="24"/>
                <w:szCs w:val="24"/>
              </w:rPr>
            </w:pP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6</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12.1.2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起重类</w:t>
            </w:r>
            <w:r>
              <w:rPr>
                <w:rFonts w:ascii="Times New Roman" w:eastAsia="宋体" w:hAnsi="Times New Roman" w:cs="Times New Roman"/>
                <w:color w:val="000000"/>
                <w:sz w:val="24"/>
                <w:szCs w:val="24"/>
              </w:rPr>
              <w:t>设备</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操作人员须取得《特种设备作业人员证》，持证上岗，并每</w:t>
            </w:r>
            <w:r>
              <w:rPr>
                <w:rFonts w:ascii="Times New Roman" w:eastAsia="宋体" w:hAnsi="Times New Roman" w:cs="Times New Roman"/>
                <w:color w:val="000000"/>
                <w:sz w:val="24"/>
                <w:szCs w:val="24"/>
              </w:rPr>
              <w:t>4</w:t>
            </w:r>
            <w:r>
              <w:rPr>
                <w:rFonts w:ascii="Calibri" w:eastAsia="宋体" w:hAnsi="Calibri" w:cs="Times New Roman" w:hint="eastAsia"/>
                <w:color w:val="000000"/>
                <w:sz w:val="24"/>
                <w:szCs w:val="24"/>
              </w:rPr>
              <w:t>年复审一次</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bCs/>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7</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12.2.1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压力</w:t>
            </w:r>
            <w:r>
              <w:rPr>
                <w:rFonts w:ascii="Times New Roman" w:eastAsia="宋体" w:hAnsi="Times New Roman" w:cs="Times New Roman"/>
                <w:color w:val="000000"/>
                <w:sz w:val="24"/>
                <w:szCs w:val="24"/>
              </w:rPr>
              <w:t>容器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压力大于</w:t>
            </w:r>
            <w:r>
              <w:rPr>
                <w:rFonts w:ascii="Times New Roman" w:eastAsia="宋体" w:hAnsi="Times New Roman" w:cs="Times New Roman"/>
                <w:color w:val="000000"/>
                <w:sz w:val="24"/>
                <w:szCs w:val="24"/>
              </w:rPr>
              <w:t>0.1MPa</w:t>
            </w:r>
            <w:r>
              <w:rPr>
                <w:rFonts w:ascii="Calibri" w:eastAsia="宋体" w:hAnsi="Calibri" w:cs="Times New Roman" w:hint="eastAsia"/>
                <w:color w:val="000000"/>
                <w:sz w:val="24"/>
                <w:szCs w:val="24"/>
              </w:rPr>
              <w:t>且容积大于</w:t>
            </w:r>
            <w:r>
              <w:rPr>
                <w:rFonts w:ascii="Times New Roman" w:eastAsia="宋体" w:hAnsi="Times New Roman" w:cs="Times New Roman"/>
                <w:color w:val="000000"/>
                <w:sz w:val="24"/>
                <w:szCs w:val="24"/>
              </w:rPr>
              <w:t>30L</w:t>
            </w:r>
            <w:r>
              <w:rPr>
                <w:rFonts w:ascii="Calibri" w:eastAsia="宋体" w:hAnsi="Calibri" w:cs="Times New Roman" w:hint="eastAsia"/>
                <w:color w:val="000000"/>
                <w:sz w:val="24"/>
                <w:szCs w:val="24"/>
              </w:rPr>
              <w:t>的压力容器，须取得《特种设备使用登记证》和《压力容器登记卡》</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8</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12.4.1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冰箱</w:t>
            </w:r>
            <w:r>
              <w:rPr>
                <w:rFonts w:ascii="Times New Roman" w:eastAsia="宋体" w:hAnsi="Times New Roman" w:cs="Times New Roman"/>
                <w:color w:val="000000"/>
                <w:sz w:val="24"/>
                <w:szCs w:val="24"/>
              </w:rPr>
              <w:t>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贮存危险化学品的冰箱为</w:t>
            </w:r>
            <w:proofErr w:type="gramStart"/>
            <w:r>
              <w:rPr>
                <w:rFonts w:ascii="Calibri" w:eastAsia="宋体" w:hAnsi="Calibri" w:cs="Times New Roman" w:hint="eastAsia"/>
                <w:color w:val="000000"/>
                <w:sz w:val="24"/>
                <w:szCs w:val="24"/>
              </w:rPr>
              <w:t>防爆冰箱</w:t>
            </w:r>
            <w:proofErr w:type="gramEnd"/>
            <w:r>
              <w:rPr>
                <w:rFonts w:ascii="Calibri" w:eastAsia="宋体" w:hAnsi="Calibri" w:cs="Times New Roman" w:hint="eastAsia"/>
                <w:color w:val="000000"/>
                <w:sz w:val="24"/>
                <w:szCs w:val="24"/>
              </w:rPr>
              <w:t>或经过防爆改造的冰箱，禁止使用无霜型冰箱储存易燃易爆试剂</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9</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12.5.3</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烘箱与电阻炉管理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不使用有故障、破损的烘箱、电阻炉；烘箱放置位置、高度合适，方便操作</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bCs/>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10</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12.5.6</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烘箱</w:t>
            </w:r>
            <w:r>
              <w:rPr>
                <w:rFonts w:ascii="Times New Roman" w:eastAsia="宋体" w:hAnsi="Times New Roman" w:cs="Times New Roman"/>
                <w:color w:val="000000"/>
                <w:sz w:val="24"/>
                <w:szCs w:val="24"/>
              </w:rPr>
              <w:t>与电阻炉管理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使用烘箱、电阻炉等加热设备时有人值守（或</w:t>
            </w:r>
            <w:r>
              <w:rPr>
                <w:rFonts w:ascii="Times New Roman" w:eastAsia="宋体" w:hAnsi="Times New Roman" w:cs="Times New Roman"/>
                <w:color w:val="000000"/>
                <w:sz w:val="24"/>
                <w:szCs w:val="24"/>
              </w:rPr>
              <w:t>10-15</w:t>
            </w:r>
            <w:r>
              <w:rPr>
                <w:rFonts w:ascii="Calibri" w:eastAsia="宋体" w:hAnsi="Calibri" w:cs="Times New Roman" w:hint="eastAsia"/>
                <w:color w:val="000000"/>
                <w:sz w:val="24"/>
                <w:szCs w:val="24"/>
              </w:rPr>
              <w:t>分钟检查一次），或有实时监控设施；使用中的烘箱、电阻炉要标识使用人姓名</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宋体" w:eastAsia="宋体" w:hAnsi="宋体" w:cs="宋体" w:hint="eastAsia"/>
                <w:color w:val="000000"/>
                <w:sz w:val="22"/>
              </w:rPr>
              <w:t>1</w:t>
            </w:r>
            <w:r>
              <w:rPr>
                <w:rFonts w:ascii="宋体" w:eastAsia="宋体" w:hAnsi="宋体" w:cs="宋体"/>
                <w:color w:val="000000"/>
                <w:sz w:val="22"/>
              </w:rPr>
              <w:t>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12.6.3</w:t>
            </w:r>
          </w:p>
        </w:tc>
        <w:tc>
          <w:tcPr>
            <w:tcW w:w="1843" w:type="dxa"/>
            <w:shd w:val="clear" w:color="auto" w:fill="auto"/>
            <w:tcMar>
              <w:left w:w="45" w:type="dxa"/>
              <w:right w:w="45" w:type="dxa"/>
            </w:tcMar>
            <w:vAlign w:val="center"/>
          </w:tcPr>
          <w:p w:rsidR="00D366F4" w:rsidRDefault="008D7F00">
            <w:pPr>
              <w:widowControl/>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明火电炉与电吹风等管理</w:t>
            </w:r>
          </w:p>
        </w:tc>
        <w:tc>
          <w:tcPr>
            <w:tcW w:w="5528"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不使用明火电炉加热易燃易爆试剂</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bl>
    <w:p w:rsidR="00D366F4" w:rsidRDefault="00D366F4">
      <w:pPr>
        <w:spacing w:line="500" w:lineRule="exact"/>
        <w:ind w:left="360"/>
        <w:jc w:val="center"/>
        <w:rPr>
          <w:rFonts w:ascii="仿宋_GB2312" w:eastAsia="仿宋_GB2312" w:hAnsi="仿宋" w:cs="Times New Roman"/>
          <w:b/>
          <w:bCs/>
          <w:sz w:val="32"/>
          <w:szCs w:val="32"/>
        </w:rPr>
      </w:pPr>
    </w:p>
    <w:p w:rsidR="00D366F4" w:rsidRDefault="008D7F00">
      <w:pPr>
        <w:spacing w:line="500" w:lineRule="exact"/>
        <w:ind w:left="360"/>
        <w:jc w:val="center"/>
        <w:rPr>
          <w:rFonts w:ascii="仿宋_GB2312" w:eastAsia="仿宋_GB2312" w:hAnsi="仿宋" w:cs="Times New Roman"/>
          <w:b/>
          <w:bCs/>
          <w:sz w:val="28"/>
          <w:szCs w:val="28"/>
        </w:rPr>
      </w:pPr>
      <w:r>
        <w:rPr>
          <w:rFonts w:ascii="仿宋_GB2312" w:eastAsia="仿宋_GB2312" w:hAnsi="仿宋" w:cs="Times New Roman" w:hint="eastAsia"/>
          <w:b/>
          <w:bCs/>
          <w:sz w:val="32"/>
          <w:szCs w:val="32"/>
        </w:rPr>
        <w:t>六、放射性物品安全</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1893"/>
        <w:gridCol w:w="5478"/>
        <w:gridCol w:w="1326"/>
      </w:tblGrid>
      <w:tr w:rsidR="00D366F4">
        <w:tc>
          <w:tcPr>
            <w:tcW w:w="562"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序号</w:t>
            </w:r>
          </w:p>
        </w:tc>
        <w:tc>
          <w:tcPr>
            <w:tcW w:w="851"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编号</w:t>
            </w:r>
          </w:p>
        </w:tc>
        <w:tc>
          <w:tcPr>
            <w:tcW w:w="1893"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小类</w:t>
            </w:r>
            <w:r>
              <w:rPr>
                <w:rFonts w:ascii="宋体" w:eastAsia="宋体" w:hAnsi="宋体" w:cs="Times New Roman"/>
                <w:b/>
                <w:sz w:val="24"/>
                <w:szCs w:val="24"/>
              </w:rPr>
              <w:t>名称</w:t>
            </w:r>
          </w:p>
        </w:tc>
        <w:tc>
          <w:tcPr>
            <w:tcW w:w="5478"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检查</w:t>
            </w:r>
            <w:r>
              <w:rPr>
                <w:rFonts w:ascii="宋体" w:eastAsia="宋体" w:hAnsi="宋体" w:cs="Times New Roman"/>
                <w:b/>
                <w:sz w:val="24"/>
                <w:szCs w:val="24"/>
              </w:rPr>
              <w:t>项目</w:t>
            </w:r>
          </w:p>
        </w:tc>
        <w:tc>
          <w:tcPr>
            <w:tcW w:w="1326"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重要性</w:t>
            </w:r>
          </w:p>
        </w:tc>
      </w:tr>
      <w:tr w:rsidR="00D366F4">
        <w:tc>
          <w:tcPr>
            <w:tcW w:w="562" w:type="dxa"/>
            <w:shd w:val="clear" w:color="auto" w:fill="auto"/>
            <w:tcMar>
              <w:left w:w="45" w:type="dxa"/>
              <w:right w:w="45" w:type="dxa"/>
            </w:tcMar>
            <w:vAlign w:val="center"/>
          </w:tcPr>
          <w:p w:rsidR="00D366F4" w:rsidRDefault="008D7F00">
            <w:pPr>
              <w:jc w:val="center"/>
              <w:rPr>
                <w:rFonts w:ascii="Calibri" w:eastAsia="宋体" w:hAnsi="Calibri" w:cs="Times New Roman"/>
                <w:sz w:val="24"/>
                <w:szCs w:val="24"/>
              </w:rPr>
            </w:pPr>
            <w:r>
              <w:rPr>
                <w:rFonts w:ascii="Calibri" w:eastAsia="宋体" w:hAnsi="Calibri" w:cs="Times New Roman" w:hint="eastAsia"/>
                <w:sz w:val="24"/>
                <w:szCs w:val="24"/>
              </w:rPr>
              <w:t>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10.1.1</w:t>
            </w:r>
          </w:p>
        </w:tc>
        <w:tc>
          <w:tcPr>
            <w:tcW w:w="189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实验室</w:t>
            </w:r>
            <w:r>
              <w:rPr>
                <w:rFonts w:ascii="宋体" w:eastAsia="宋体" w:hAnsi="宋体" w:cs="Times New Roman"/>
                <w:sz w:val="24"/>
                <w:szCs w:val="24"/>
              </w:rPr>
              <w:t>资质与人员要求</w:t>
            </w:r>
          </w:p>
        </w:tc>
        <w:tc>
          <w:tcPr>
            <w:tcW w:w="547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通过学校申请，</w:t>
            </w:r>
            <w:proofErr w:type="gramStart"/>
            <w:r>
              <w:rPr>
                <w:rFonts w:ascii="Calibri" w:eastAsia="宋体" w:hAnsi="Calibri" w:cs="Times New Roman" w:hint="eastAsia"/>
                <w:color w:val="000000"/>
                <w:sz w:val="24"/>
                <w:szCs w:val="24"/>
              </w:rPr>
              <w:t>涉源已</w:t>
            </w:r>
            <w:proofErr w:type="gramEnd"/>
            <w:r>
              <w:rPr>
                <w:rFonts w:ascii="Calibri" w:eastAsia="宋体" w:hAnsi="Calibri" w:cs="Times New Roman" w:hint="eastAsia"/>
                <w:color w:val="000000"/>
                <w:sz w:val="24"/>
                <w:szCs w:val="24"/>
              </w:rPr>
              <w:t>取得</w:t>
            </w:r>
            <w:r>
              <w:rPr>
                <w:rFonts w:ascii="Times New Roman" w:eastAsia="宋体" w:hAnsi="Times New Roman" w:cs="Times New Roman"/>
                <w:color w:val="000000"/>
                <w:sz w:val="24"/>
                <w:szCs w:val="24"/>
              </w:rPr>
              <w:t>“</w:t>
            </w:r>
            <w:r>
              <w:rPr>
                <w:rFonts w:ascii="Calibri" w:eastAsia="宋体" w:hAnsi="Calibri" w:cs="Times New Roman" w:hint="eastAsia"/>
                <w:color w:val="000000"/>
                <w:sz w:val="24"/>
                <w:szCs w:val="24"/>
              </w:rPr>
              <w:t>辐射安全许可证</w:t>
            </w:r>
            <w:r>
              <w:rPr>
                <w:rFonts w:ascii="Times New Roman" w:eastAsia="宋体" w:hAnsi="Times New Roman" w:cs="Times New Roman"/>
                <w:color w:val="000000"/>
                <w:sz w:val="24"/>
                <w:szCs w:val="24"/>
              </w:rPr>
              <w:t>”</w:t>
            </w:r>
            <w:r>
              <w:rPr>
                <w:rFonts w:ascii="Calibri" w:eastAsia="宋体" w:hAnsi="Calibri" w:cs="Times New Roman" w:hint="eastAsia"/>
                <w:color w:val="000000"/>
                <w:sz w:val="24"/>
                <w:szCs w:val="24"/>
              </w:rPr>
              <w:t>，并按规定在放射性核素种类和用量以及射线种类许可范围内开展实验</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Calibri" w:eastAsia="宋体" w:hAnsi="Calibri" w:cs="Times New Roman"/>
                <w:sz w:val="24"/>
                <w:szCs w:val="24"/>
              </w:rPr>
            </w:pPr>
            <w:r>
              <w:rPr>
                <w:rFonts w:ascii="Calibri" w:eastAsia="宋体" w:hAnsi="Calibri" w:cs="Times New Roman" w:hint="eastAsia"/>
                <w:sz w:val="24"/>
                <w:szCs w:val="24"/>
              </w:rPr>
              <w:t>2</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10.1.5</w:t>
            </w:r>
          </w:p>
        </w:tc>
        <w:tc>
          <w:tcPr>
            <w:tcW w:w="189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实验室</w:t>
            </w:r>
            <w:r>
              <w:rPr>
                <w:rFonts w:ascii="Times New Roman" w:eastAsia="宋体" w:hAnsi="Times New Roman" w:cs="Times New Roman"/>
                <w:color w:val="000000"/>
                <w:sz w:val="24"/>
                <w:szCs w:val="24"/>
              </w:rPr>
              <w:t>资质与人员要求</w:t>
            </w:r>
          </w:p>
        </w:tc>
        <w:tc>
          <w:tcPr>
            <w:tcW w:w="547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proofErr w:type="gramStart"/>
            <w:r>
              <w:rPr>
                <w:rFonts w:ascii="Calibri" w:eastAsia="宋体" w:hAnsi="Calibri" w:cs="Times New Roman" w:hint="eastAsia"/>
                <w:color w:val="000000"/>
                <w:sz w:val="24"/>
                <w:szCs w:val="24"/>
              </w:rPr>
              <w:t>涉源人员</w:t>
            </w:r>
            <w:proofErr w:type="gramEnd"/>
            <w:r>
              <w:rPr>
                <w:rFonts w:ascii="Calibri" w:eastAsia="宋体" w:hAnsi="Calibri" w:cs="Times New Roman" w:hint="eastAsia"/>
                <w:color w:val="000000"/>
                <w:sz w:val="24"/>
                <w:szCs w:val="24"/>
              </w:rPr>
              <w:t>进入实验场所须佩带个人剂量计；委托有资质单位按时进行剂量检测（</w:t>
            </w:r>
            <w:r>
              <w:rPr>
                <w:rFonts w:ascii="Times New Roman" w:eastAsia="宋体" w:hAnsi="Times New Roman" w:cs="Times New Roman"/>
                <w:color w:val="000000"/>
                <w:sz w:val="24"/>
                <w:szCs w:val="24"/>
              </w:rPr>
              <w:t>3</w:t>
            </w:r>
            <w:r>
              <w:rPr>
                <w:rFonts w:ascii="Calibri" w:eastAsia="宋体" w:hAnsi="Calibri" w:cs="Times New Roman" w:hint="eastAsia"/>
                <w:color w:val="000000"/>
                <w:sz w:val="24"/>
                <w:szCs w:val="24"/>
              </w:rPr>
              <w:t>个月一次），有合格的个人剂量检测报告。剂量计平时不能放在实验室场所</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Calibri" w:eastAsia="宋体" w:hAnsi="Calibri" w:cs="Times New Roman"/>
              </w:rPr>
            </w:pPr>
            <w:r>
              <w:rPr>
                <w:rFonts w:ascii="Calibri" w:eastAsia="宋体" w:hAnsi="Calibri" w:cs="Times New Roman" w:hint="eastAsia"/>
              </w:rPr>
              <w:t>3</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10.5.1</w:t>
            </w:r>
          </w:p>
        </w:tc>
        <w:tc>
          <w:tcPr>
            <w:tcW w:w="189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放射性实验废弃物的处置</w:t>
            </w:r>
          </w:p>
        </w:tc>
        <w:tc>
          <w:tcPr>
            <w:tcW w:w="547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报废含有放射源或可产生放射性的设备，需报学校管理部门同意，并按国家规定进行退役处置；</w:t>
            </w:r>
            <w:r>
              <w:rPr>
                <w:rFonts w:ascii="Times New Roman" w:eastAsia="宋体" w:hAnsi="Times New Roman" w:cs="Times New Roman"/>
                <w:color w:val="000000"/>
                <w:sz w:val="24"/>
                <w:szCs w:val="24"/>
              </w:rPr>
              <w:t>X</w:t>
            </w:r>
            <w:r>
              <w:rPr>
                <w:rFonts w:ascii="Calibri" w:eastAsia="宋体" w:hAnsi="Calibri" w:cs="Times New Roman" w:hint="eastAsia"/>
                <w:color w:val="000000"/>
                <w:sz w:val="24"/>
                <w:szCs w:val="24"/>
              </w:rPr>
              <w:t>光管报废时应敲碎，拍照留存</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bl>
    <w:p w:rsidR="00D366F4" w:rsidRDefault="00D366F4">
      <w:pPr>
        <w:spacing w:line="500" w:lineRule="exact"/>
        <w:ind w:left="360"/>
        <w:jc w:val="center"/>
        <w:rPr>
          <w:rFonts w:ascii="仿宋_GB2312" w:eastAsia="仿宋_GB2312" w:hAnsi="仿宋" w:cs="Times New Roman"/>
          <w:b/>
          <w:bCs/>
          <w:sz w:val="32"/>
          <w:szCs w:val="32"/>
        </w:rPr>
      </w:pPr>
    </w:p>
    <w:p w:rsidR="00D366F4" w:rsidRDefault="008D7F00">
      <w:pPr>
        <w:spacing w:line="500" w:lineRule="exact"/>
        <w:ind w:left="360"/>
        <w:jc w:val="center"/>
        <w:rPr>
          <w:rFonts w:ascii="仿宋_GB2312" w:eastAsia="仿宋_GB2312" w:hAnsi="仿宋" w:cs="Times New Roman"/>
          <w:b/>
          <w:bCs/>
          <w:sz w:val="32"/>
          <w:szCs w:val="32"/>
        </w:rPr>
      </w:pPr>
      <w:r>
        <w:rPr>
          <w:rFonts w:ascii="仿宋_GB2312" w:eastAsia="仿宋_GB2312" w:hAnsi="仿宋" w:cs="Times New Roman" w:hint="eastAsia"/>
          <w:b/>
          <w:bCs/>
          <w:sz w:val="32"/>
          <w:szCs w:val="32"/>
        </w:rPr>
        <w:t>七、生物安全</w:t>
      </w:r>
    </w:p>
    <w:tbl>
      <w:tblPr>
        <w:tblpPr w:leftFromText="180" w:rightFromText="180" w:vertAnchor="text" w:horzAnchor="margin" w:tblpXSpec="center" w:tblpY="3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1843"/>
        <w:gridCol w:w="5528"/>
        <w:gridCol w:w="1326"/>
      </w:tblGrid>
      <w:tr w:rsidR="00D366F4">
        <w:tc>
          <w:tcPr>
            <w:tcW w:w="562"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序号</w:t>
            </w:r>
          </w:p>
        </w:tc>
        <w:tc>
          <w:tcPr>
            <w:tcW w:w="851"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编号</w:t>
            </w:r>
          </w:p>
        </w:tc>
        <w:tc>
          <w:tcPr>
            <w:tcW w:w="1843"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小类</w:t>
            </w:r>
            <w:r>
              <w:rPr>
                <w:rFonts w:ascii="宋体" w:eastAsia="宋体" w:hAnsi="宋体" w:cs="Times New Roman"/>
                <w:b/>
                <w:sz w:val="24"/>
                <w:szCs w:val="24"/>
              </w:rPr>
              <w:t>名称</w:t>
            </w:r>
          </w:p>
        </w:tc>
        <w:tc>
          <w:tcPr>
            <w:tcW w:w="5528"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检查</w:t>
            </w:r>
            <w:r>
              <w:rPr>
                <w:rFonts w:ascii="宋体" w:eastAsia="宋体" w:hAnsi="宋体" w:cs="Times New Roman"/>
                <w:b/>
                <w:sz w:val="24"/>
                <w:szCs w:val="24"/>
              </w:rPr>
              <w:t>项目</w:t>
            </w:r>
          </w:p>
        </w:tc>
        <w:tc>
          <w:tcPr>
            <w:tcW w:w="1326" w:type="dxa"/>
            <w:shd w:val="clear" w:color="auto" w:fill="auto"/>
            <w:tcMar>
              <w:left w:w="45" w:type="dxa"/>
              <w:right w:w="45" w:type="dxa"/>
            </w:tcMar>
            <w:vAlign w:val="center"/>
          </w:tcPr>
          <w:p w:rsidR="00D366F4" w:rsidRDefault="008D7F00">
            <w:pPr>
              <w:spacing w:line="320" w:lineRule="exact"/>
              <w:jc w:val="center"/>
              <w:rPr>
                <w:rFonts w:ascii="宋体" w:eastAsia="宋体" w:hAnsi="宋体" w:cs="Times New Roman"/>
                <w:b/>
                <w:sz w:val="24"/>
                <w:szCs w:val="24"/>
              </w:rPr>
            </w:pPr>
            <w:r>
              <w:rPr>
                <w:rFonts w:ascii="宋体" w:eastAsia="宋体" w:hAnsi="宋体" w:cs="Times New Roman" w:hint="eastAsia"/>
                <w:b/>
                <w:sz w:val="24"/>
                <w:szCs w:val="24"/>
              </w:rPr>
              <w:t>重要性</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9.1.1</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实验室</w:t>
            </w:r>
            <w:r>
              <w:rPr>
                <w:rFonts w:ascii="宋体" w:eastAsia="宋体" w:hAnsi="宋体" w:cs="Times New Roman"/>
                <w:sz w:val="24"/>
                <w:szCs w:val="24"/>
              </w:rPr>
              <w:t>资质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开展病原微生物实验研究的实验室，须具备相应的安全等级资质。其中</w:t>
            </w:r>
            <w:r>
              <w:rPr>
                <w:rFonts w:ascii="Times New Roman" w:eastAsia="宋体" w:hAnsi="Times New Roman" w:cs="Times New Roman"/>
                <w:color w:val="000000"/>
                <w:sz w:val="24"/>
                <w:szCs w:val="24"/>
              </w:rPr>
              <w:t>BSL-3/ABSL-3</w:t>
            </w:r>
            <w:r>
              <w:rPr>
                <w:rFonts w:ascii="Calibri" w:eastAsia="宋体" w:hAnsi="Calibri" w:cs="Times New Roman" w:hint="eastAsia"/>
                <w:color w:val="000000"/>
                <w:sz w:val="24"/>
                <w:szCs w:val="24"/>
              </w:rPr>
              <w:t>、</w:t>
            </w:r>
            <w:r>
              <w:rPr>
                <w:rFonts w:ascii="Times New Roman" w:eastAsia="宋体" w:hAnsi="Times New Roman" w:cs="Times New Roman"/>
                <w:color w:val="000000"/>
                <w:sz w:val="24"/>
                <w:szCs w:val="24"/>
              </w:rPr>
              <w:t>BSL-4/ABSL-4</w:t>
            </w:r>
            <w:r>
              <w:rPr>
                <w:rFonts w:ascii="Calibri" w:eastAsia="宋体" w:hAnsi="Calibri" w:cs="Times New Roman" w:hint="eastAsia"/>
                <w:color w:val="000000"/>
                <w:sz w:val="24"/>
                <w:szCs w:val="24"/>
              </w:rPr>
              <w:t>实验室须经政府部门批准建设；</w:t>
            </w:r>
            <w:r>
              <w:rPr>
                <w:rFonts w:ascii="Times New Roman" w:eastAsia="宋体" w:hAnsi="Times New Roman" w:cs="Times New Roman"/>
                <w:color w:val="000000"/>
                <w:sz w:val="24"/>
                <w:szCs w:val="24"/>
              </w:rPr>
              <w:t>BSL-1/ ABSL-1</w:t>
            </w:r>
            <w:r>
              <w:rPr>
                <w:rFonts w:ascii="Calibri" w:eastAsia="宋体" w:hAnsi="Calibri" w:cs="Times New Roman" w:hint="eastAsia"/>
                <w:color w:val="000000"/>
                <w:sz w:val="24"/>
                <w:szCs w:val="24"/>
              </w:rPr>
              <w:t>、</w:t>
            </w:r>
            <w:r>
              <w:rPr>
                <w:rFonts w:ascii="Times New Roman" w:eastAsia="宋体" w:hAnsi="Times New Roman" w:cs="Times New Roman"/>
                <w:color w:val="000000"/>
                <w:sz w:val="24"/>
                <w:szCs w:val="24"/>
              </w:rPr>
              <w:t xml:space="preserve">BSL-2/ ABSL-2 </w:t>
            </w:r>
            <w:r>
              <w:rPr>
                <w:rFonts w:ascii="Calibri" w:eastAsia="宋体" w:hAnsi="Calibri" w:cs="Times New Roman" w:hint="eastAsia"/>
                <w:color w:val="000000"/>
                <w:sz w:val="24"/>
                <w:szCs w:val="24"/>
              </w:rPr>
              <w:t>实验室由学校建设后报政府卫生或农业部门备案</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lastRenderedPageBreak/>
              <w:t>2</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9.1.3</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实验室</w:t>
            </w:r>
            <w:r>
              <w:rPr>
                <w:rFonts w:ascii="宋体" w:eastAsia="宋体" w:hAnsi="宋体" w:cs="Times New Roman"/>
                <w:sz w:val="24"/>
                <w:szCs w:val="24"/>
              </w:rPr>
              <w:t>资质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开展未经灭活的高致病性病原微生物（列入一类、二类）相关实验和研究，必须在</w:t>
            </w:r>
            <w:r>
              <w:rPr>
                <w:rFonts w:ascii="Times New Roman" w:eastAsia="宋体" w:hAnsi="Times New Roman" w:cs="Times New Roman"/>
                <w:color w:val="000000"/>
                <w:szCs w:val="21"/>
              </w:rPr>
              <w:t>BSL-3/ABSL-3</w:t>
            </w:r>
            <w:r>
              <w:rPr>
                <w:rFonts w:ascii="Calibri" w:eastAsia="宋体" w:hAnsi="Calibri" w:cs="Times New Roman" w:hint="eastAsia"/>
                <w:color w:val="000000"/>
                <w:szCs w:val="21"/>
              </w:rPr>
              <w:t>、</w:t>
            </w:r>
            <w:r>
              <w:rPr>
                <w:rFonts w:ascii="Times New Roman" w:eastAsia="宋体" w:hAnsi="Times New Roman" w:cs="Times New Roman"/>
                <w:color w:val="000000"/>
                <w:szCs w:val="21"/>
              </w:rPr>
              <w:t>BSL-4/ABSL-4</w:t>
            </w:r>
            <w:r>
              <w:rPr>
                <w:rFonts w:ascii="Calibri" w:eastAsia="宋体" w:hAnsi="Calibri" w:cs="Times New Roman" w:hint="eastAsia"/>
                <w:color w:val="000000"/>
                <w:szCs w:val="21"/>
              </w:rPr>
              <w:t>实验室中进行</w:t>
            </w:r>
          </w:p>
        </w:tc>
        <w:tc>
          <w:tcPr>
            <w:tcW w:w="1326" w:type="dxa"/>
            <w:shd w:val="clear" w:color="auto" w:fill="auto"/>
            <w:tcMar>
              <w:left w:w="45" w:type="dxa"/>
              <w:right w:w="45" w:type="dxa"/>
            </w:tcMar>
          </w:tcPr>
          <w:p w:rsidR="00D366F4" w:rsidRDefault="008D7F00">
            <w:pPr>
              <w:jc w:val="center"/>
              <w:rPr>
                <w:rFonts w:ascii="Calibri" w:eastAsia="宋体" w:hAnsi="Calibri" w:cs="Times New Roman"/>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3</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9.1.4</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实验室</w:t>
            </w:r>
            <w:r>
              <w:rPr>
                <w:rFonts w:ascii="宋体" w:eastAsia="宋体" w:hAnsi="宋体" w:cs="Times New Roman"/>
                <w:sz w:val="24"/>
                <w:szCs w:val="24"/>
              </w:rPr>
              <w:t>资质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proofErr w:type="gramStart"/>
            <w:r>
              <w:rPr>
                <w:rFonts w:ascii="Calibri" w:eastAsia="宋体" w:hAnsi="Calibri" w:cs="Times New Roman" w:hint="eastAsia"/>
                <w:color w:val="000000"/>
                <w:szCs w:val="21"/>
              </w:rPr>
              <w:t>开展低</w:t>
            </w:r>
            <w:proofErr w:type="gramEnd"/>
            <w:r>
              <w:rPr>
                <w:rFonts w:ascii="Calibri" w:eastAsia="宋体" w:hAnsi="Calibri" w:cs="Times New Roman" w:hint="eastAsia"/>
                <w:color w:val="000000"/>
                <w:szCs w:val="21"/>
              </w:rPr>
              <w:t>致病性病原微生物（列入三类、四类），或经灭活的高致病性感染性材料的相关实验和研究，必须在</w:t>
            </w:r>
            <w:r>
              <w:rPr>
                <w:rFonts w:ascii="Times New Roman" w:eastAsia="宋体" w:hAnsi="Times New Roman" w:cs="Times New Roman"/>
                <w:color w:val="000000"/>
                <w:szCs w:val="21"/>
              </w:rPr>
              <w:t>BSL-1/ ABSL-1</w:t>
            </w:r>
            <w:r>
              <w:rPr>
                <w:rFonts w:ascii="Calibri" w:eastAsia="宋体" w:hAnsi="Calibri" w:cs="Times New Roman" w:hint="eastAsia"/>
                <w:color w:val="000000"/>
                <w:szCs w:val="21"/>
              </w:rPr>
              <w:t>、</w:t>
            </w:r>
            <w:r>
              <w:rPr>
                <w:rFonts w:ascii="Times New Roman" w:eastAsia="宋体" w:hAnsi="Times New Roman" w:cs="Times New Roman"/>
                <w:color w:val="000000"/>
                <w:szCs w:val="21"/>
              </w:rPr>
              <w:t>BSL-2/ ABSL-2</w:t>
            </w:r>
            <w:r>
              <w:rPr>
                <w:rFonts w:ascii="Calibri" w:eastAsia="宋体" w:hAnsi="Calibri" w:cs="Times New Roman" w:hint="eastAsia"/>
                <w:color w:val="000000"/>
                <w:szCs w:val="21"/>
              </w:rPr>
              <w:t>或以上等级实验室中进行</w:t>
            </w:r>
          </w:p>
        </w:tc>
        <w:tc>
          <w:tcPr>
            <w:tcW w:w="1326" w:type="dxa"/>
            <w:shd w:val="clear" w:color="auto" w:fill="auto"/>
            <w:tcMar>
              <w:left w:w="45" w:type="dxa"/>
              <w:right w:w="45" w:type="dxa"/>
            </w:tcMar>
          </w:tcPr>
          <w:p w:rsidR="00D366F4" w:rsidRDefault="008D7F00">
            <w:pPr>
              <w:jc w:val="center"/>
              <w:rPr>
                <w:rFonts w:ascii="Calibri" w:eastAsia="宋体" w:hAnsi="Calibri" w:cs="Times New Roman"/>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Calibri" w:eastAsia="宋体" w:hAnsi="Calibri" w:cs="Times New Roman"/>
                <w:color w:val="000000"/>
                <w:sz w:val="22"/>
              </w:rPr>
            </w:pPr>
            <w:r>
              <w:rPr>
                <w:rFonts w:ascii="Calibri" w:eastAsia="宋体" w:hAnsi="Calibri" w:cs="Times New Roman" w:hint="eastAsia"/>
                <w:color w:val="000000"/>
                <w:sz w:val="22"/>
              </w:rPr>
              <w:t>4</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9.2.3</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场所与设施</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储存病原微生物的场所或储柜配备防盗设施，并安装监控报警装置</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5</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9.3.1</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病原</w:t>
            </w:r>
            <w:r>
              <w:rPr>
                <w:rFonts w:ascii="宋体" w:eastAsia="宋体" w:hAnsi="宋体" w:cs="Times New Roman"/>
                <w:sz w:val="24"/>
                <w:szCs w:val="24"/>
              </w:rPr>
              <w:t>微生物采购与保管</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proofErr w:type="gramStart"/>
            <w:r>
              <w:rPr>
                <w:rFonts w:ascii="Calibri" w:eastAsia="宋体" w:hAnsi="Calibri" w:cs="Times New Roman" w:hint="eastAsia"/>
                <w:color w:val="000000"/>
                <w:sz w:val="24"/>
                <w:szCs w:val="24"/>
              </w:rPr>
              <w:t>采购高</w:t>
            </w:r>
            <w:proofErr w:type="gramEnd"/>
            <w:r>
              <w:rPr>
                <w:rFonts w:ascii="Calibri" w:eastAsia="宋体" w:hAnsi="Calibri" w:cs="Times New Roman" w:hint="eastAsia"/>
                <w:color w:val="000000"/>
                <w:sz w:val="24"/>
                <w:szCs w:val="24"/>
              </w:rPr>
              <w:t>致病性病原微生物菌（毒）种，须按照学校流程审批，</w:t>
            </w:r>
            <w:proofErr w:type="gramStart"/>
            <w:r>
              <w:rPr>
                <w:rFonts w:ascii="Calibri" w:eastAsia="宋体" w:hAnsi="Calibri" w:cs="Times New Roman" w:hint="eastAsia"/>
                <w:color w:val="000000"/>
                <w:sz w:val="24"/>
                <w:szCs w:val="24"/>
              </w:rPr>
              <w:t>报行</w:t>
            </w:r>
            <w:proofErr w:type="gramEnd"/>
            <w:r>
              <w:rPr>
                <w:rFonts w:ascii="Calibri" w:eastAsia="宋体" w:hAnsi="Calibri" w:cs="Times New Roman" w:hint="eastAsia"/>
                <w:color w:val="000000"/>
                <w:sz w:val="24"/>
                <w:szCs w:val="24"/>
              </w:rPr>
              <w:t>业主管部门批准</w:t>
            </w:r>
          </w:p>
        </w:tc>
        <w:tc>
          <w:tcPr>
            <w:tcW w:w="1326" w:type="dxa"/>
            <w:shd w:val="clear" w:color="auto" w:fill="auto"/>
            <w:tcMar>
              <w:left w:w="45" w:type="dxa"/>
              <w:right w:w="45" w:type="dxa"/>
            </w:tcMar>
          </w:tcPr>
          <w:p w:rsidR="00D366F4" w:rsidRDefault="008D7F00">
            <w:pPr>
              <w:jc w:val="center"/>
              <w:rPr>
                <w:rFonts w:ascii="Calibri" w:eastAsia="宋体" w:hAnsi="Calibri" w:cs="Times New Roman"/>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6</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9.3.3</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宋体" w:eastAsia="宋体" w:hAnsi="宋体" w:cs="Times New Roman" w:hint="eastAsia"/>
                <w:sz w:val="24"/>
                <w:szCs w:val="24"/>
              </w:rPr>
              <w:t>病原</w:t>
            </w:r>
            <w:r>
              <w:rPr>
                <w:rFonts w:ascii="宋体" w:eastAsia="宋体" w:hAnsi="宋体" w:cs="Times New Roman"/>
                <w:sz w:val="24"/>
                <w:szCs w:val="24"/>
              </w:rPr>
              <w:t>微生物采购与保管</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高致病性病原微生物的转移和运输需按规定</w:t>
            </w:r>
            <w:proofErr w:type="gramStart"/>
            <w:r>
              <w:rPr>
                <w:rFonts w:ascii="Calibri" w:eastAsia="宋体" w:hAnsi="Calibri" w:cs="Times New Roman" w:hint="eastAsia"/>
                <w:color w:val="000000"/>
                <w:sz w:val="24"/>
                <w:szCs w:val="24"/>
              </w:rPr>
              <w:t>报卫生</w:t>
            </w:r>
            <w:proofErr w:type="gramEnd"/>
            <w:r>
              <w:rPr>
                <w:rFonts w:ascii="Calibri" w:eastAsia="宋体" w:hAnsi="Calibri" w:cs="Times New Roman" w:hint="eastAsia"/>
                <w:color w:val="000000"/>
                <w:sz w:val="24"/>
                <w:szCs w:val="24"/>
              </w:rPr>
              <w:t>和农业主管部门批准，并按相应的运输包装要求包装后转移和运输</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7</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9.3.4</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宋体" w:eastAsia="宋体" w:hAnsi="宋体" w:cs="Times New Roman" w:hint="eastAsia"/>
                <w:sz w:val="24"/>
                <w:szCs w:val="24"/>
              </w:rPr>
              <w:t>病原</w:t>
            </w:r>
            <w:r>
              <w:rPr>
                <w:rFonts w:ascii="宋体" w:eastAsia="宋体" w:hAnsi="宋体" w:cs="Times New Roman"/>
                <w:sz w:val="24"/>
                <w:szCs w:val="24"/>
              </w:rPr>
              <w:t>微生物采购与保管</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病原微生物菌（毒）种保存在带锁冰箱或柜子中，高致病性病原微生物实行双人双</w:t>
            </w:r>
            <w:proofErr w:type="gramStart"/>
            <w:r>
              <w:rPr>
                <w:rFonts w:ascii="Calibri" w:eastAsia="宋体" w:hAnsi="Calibri" w:cs="Times New Roman" w:hint="eastAsia"/>
                <w:color w:val="000000"/>
                <w:sz w:val="24"/>
                <w:szCs w:val="24"/>
              </w:rPr>
              <w:t>锁管理</w:t>
            </w:r>
            <w:proofErr w:type="gramEnd"/>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8</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Cs w:val="21"/>
              </w:rPr>
              <w:t>9.3.5</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宋体" w:eastAsia="宋体" w:hAnsi="宋体" w:cs="Times New Roman" w:hint="eastAsia"/>
                <w:sz w:val="24"/>
                <w:szCs w:val="24"/>
              </w:rPr>
              <w:t>病原</w:t>
            </w:r>
            <w:r>
              <w:rPr>
                <w:rFonts w:ascii="宋体" w:eastAsia="宋体" w:hAnsi="宋体" w:cs="Times New Roman"/>
                <w:sz w:val="24"/>
                <w:szCs w:val="24"/>
              </w:rPr>
              <w:t>微生物采购与保管</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Cs w:val="21"/>
              </w:rPr>
              <w:t>有病原微生物菌（毒）种保存、实验使用、销毁的记录</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9</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9.3.6</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病原微生物</w:t>
            </w:r>
            <w:r>
              <w:rPr>
                <w:rFonts w:ascii="宋体" w:eastAsia="宋体" w:hAnsi="宋体" w:cs="Times New Roman"/>
                <w:sz w:val="24"/>
                <w:szCs w:val="24"/>
              </w:rPr>
              <w:t>采购与保管</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自行</w:t>
            </w:r>
            <w:proofErr w:type="gramStart"/>
            <w:r>
              <w:rPr>
                <w:rFonts w:ascii="Calibri" w:eastAsia="宋体" w:hAnsi="Calibri" w:cs="Times New Roman" w:hint="eastAsia"/>
                <w:color w:val="000000"/>
                <w:sz w:val="24"/>
                <w:szCs w:val="24"/>
              </w:rPr>
              <w:t>分离高</w:t>
            </w:r>
            <w:proofErr w:type="gramEnd"/>
            <w:r>
              <w:rPr>
                <w:rFonts w:ascii="Calibri" w:eastAsia="宋体" w:hAnsi="Calibri" w:cs="Times New Roman" w:hint="eastAsia"/>
                <w:color w:val="000000"/>
                <w:sz w:val="24"/>
                <w:szCs w:val="24"/>
              </w:rPr>
              <w:t>致病性病原微生物，必须在相应安全等级的实验室中进行，并</w:t>
            </w:r>
            <w:proofErr w:type="gramStart"/>
            <w:r>
              <w:rPr>
                <w:rFonts w:ascii="Calibri" w:eastAsia="宋体" w:hAnsi="Calibri" w:cs="Times New Roman" w:hint="eastAsia"/>
                <w:color w:val="000000"/>
                <w:sz w:val="24"/>
                <w:szCs w:val="24"/>
              </w:rPr>
              <w:t>报卫</w:t>
            </w:r>
            <w:proofErr w:type="gramEnd"/>
            <w:r>
              <w:rPr>
                <w:rFonts w:ascii="Calibri" w:eastAsia="宋体" w:hAnsi="Calibri" w:cs="Times New Roman" w:hint="eastAsia"/>
                <w:color w:val="000000"/>
                <w:sz w:val="24"/>
                <w:szCs w:val="24"/>
              </w:rPr>
              <w:t>生或农业主管部门批准，方可保存和开展实验，资料报学校备案</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10</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9.4.1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人员</w:t>
            </w:r>
            <w:r>
              <w:rPr>
                <w:rFonts w:ascii="Times New Roman" w:eastAsia="宋体" w:hAnsi="Times New Roman" w:cs="Times New Roman"/>
                <w:color w:val="000000"/>
                <w:sz w:val="24"/>
                <w:szCs w:val="24"/>
              </w:rPr>
              <w:t>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开展病原微生物相关实验和研究的人员经过专业培训，考核合格，并取得证书</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11</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9.5.2</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操作</w:t>
            </w:r>
            <w:r>
              <w:rPr>
                <w:rFonts w:ascii="Times New Roman" w:eastAsia="宋体" w:hAnsi="Times New Roman" w:cs="Times New Roman"/>
                <w:color w:val="000000"/>
                <w:sz w:val="24"/>
                <w:szCs w:val="24"/>
              </w:rPr>
              <w:t>管理</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Times New Roman" w:eastAsia="宋体" w:hAnsi="Times New Roman" w:cs="Times New Roman"/>
                <w:color w:val="000000"/>
                <w:sz w:val="24"/>
                <w:szCs w:val="24"/>
              </w:rPr>
              <w:t>BSL-2 /ABSL-2</w:t>
            </w:r>
            <w:r>
              <w:rPr>
                <w:rFonts w:ascii="Calibri" w:eastAsia="宋体" w:hAnsi="Calibri" w:cs="Times New Roman" w:hint="eastAsia"/>
                <w:color w:val="000000"/>
                <w:sz w:val="24"/>
                <w:szCs w:val="24"/>
              </w:rPr>
              <w:t>及以上等级实验室，开展病原微生物的相关实验活动应有风险评估和应急预案，包括病原微生物及感染材料溢出和意外事故的书面操作程序</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12</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9.6.1</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实验动物</w:t>
            </w:r>
            <w:r>
              <w:rPr>
                <w:rFonts w:ascii="Times New Roman" w:eastAsia="宋体" w:hAnsi="Times New Roman" w:cs="Times New Roman"/>
                <w:color w:val="000000"/>
                <w:sz w:val="24"/>
                <w:szCs w:val="24"/>
              </w:rPr>
              <w:t>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饲养实验动物的场所应有资质证书</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13</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9.6.2</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Times New Roman" w:eastAsia="宋体" w:hAnsi="Times New Roman" w:cs="Times New Roman" w:hint="eastAsia"/>
                <w:color w:val="000000"/>
                <w:sz w:val="24"/>
                <w:szCs w:val="24"/>
              </w:rPr>
              <w:t>实验动物</w:t>
            </w:r>
            <w:r>
              <w:rPr>
                <w:rFonts w:ascii="Times New Roman" w:eastAsia="宋体" w:hAnsi="Times New Roman" w:cs="Times New Roman"/>
                <w:color w:val="000000"/>
                <w:sz w:val="24"/>
                <w:szCs w:val="24"/>
              </w:rPr>
              <w:t>安全</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实验动物需从具有资质的单位购买，有合格证明</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Calibri" w:eastAsia="宋体" w:hAnsi="Calibri" w:cs="Times New Roman" w:hint="eastAsia"/>
                <w:color w:val="000000"/>
                <w:sz w:val="22"/>
              </w:rPr>
              <w:t>14</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9.7.4</w:t>
            </w:r>
          </w:p>
        </w:tc>
        <w:tc>
          <w:tcPr>
            <w:tcW w:w="1843"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生物</w:t>
            </w:r>
            <w:r>
              <w:rPr>
                <w:rFonts w:ascii="Times New Roman" w:eastAsia="宋体" w:hAnsi="Times New Roman" w:cs="Times New Roman"/>
                <w:color w:val="000000"/>
                <w:sz w:val="24"/>
                <w:szCs w:val="24"/>
              </w:rPr>
              <w:t>实验废物</w:t>
            </w:r>
            <w:r>
              <w:rPr>
                <w:rFonts w:ascii="Times New Roman" w:eastAsia="宋体" w:hAnsi="Times New Roman" w:cs="Times New Roman" w:hint="eastAsia"/>
                <w:color w:val="000000"/>
                <w:sz w:val="24"/>
                <w:szCs w:val="24"/>
              </w:rPr>
              <w:t>处置</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配备了生化实验废弃物垃圾桶（一般内置黄色塑料袋），有标签；刀片、</w:t>
            </w:r>
            <w:proofErr w:type="gramStart"/>
            <w:r>
              <w:rPr>
                <w:rFonts w:ascii="Calibri" w:eastAsia="宋体" w:hAnsi="Calibri" w:cs="Times New Roman" w:hint="eastAsia"/>
                <w:color w:val="000000"/>
                <w:sz w:val="24"/>
                <w:szCs w:val="24"/>
              </w:rPr>
              <w:t>移液枪</w:t>
            </w:r>
            <w:proofErr w:type="gramEnd"/>
            <w:r>
              <w:rPr>
                <w:rFonts w:ascii="Calibri" w:eastAsia="宋体" w:hAnsi="Calibri" w:cs="Times New Roman" w:hint="eastAsia"/>
                <w:color w:val="000000"/>
                <w:sz w:val="24"/>
                <w:szCs w:val="24"/>
              </w:rPr>
              <w:t>头等尖锐物应</w:t>
            </w:r>
            <w:proofErr w:type="gramStart"/>
            <w:r>
              <w:rPr>
                <w:rFonts w:ascii="Calibri" w:eastAsia="宋体" w:hAnsi="Calibri" w:cs="Times New Roman" w:hint="eastAsia"/>
                <w:color w:val="000000"/>
                <w:sz w:val="24"/>
                <w:szCs w:val="24"/>
              </w:rPr>
              <w:t>使用耐扎</w:t>
            </w:r>
            <w:proofErr w:type="gramEnd"/>
            <w:r>
              <w:rPr>
                <w:rFonts w:ascii="Calibri" w:eastAsia="宋体" w:hAnsi="Calibri" w:cs="Times New Roman" w:hint="eastAsia"/>
                <w:color w:val="000000"/>
                <w:sz w:val="24"/>
                <w:szCs w:val="24"/>
              </w:rPr>
              <w:t>的利器盒</w:t>
            </w:r>
            <w:r>
              <w:rPr>
                <w:rFonts w:ascii="Times New Roman" w:eastAsia="宋体" w:hAnsi="Times New Roman" w:cs="Times New Roman"/>
                <w:color w:val="000000"/>
                <w:sz w:val="24"/>
                <w:szCs w:val="24"/>
              </w:rPr>
              <w:t>/</w:t>
            </w:r>
            <w:r>
              <w:rPr>
                <w:rFonts w:ascii="Calibri" w:eastAsia="宋体" w:hAnsi="Calibri" w:cs="Times New Roman" w:hint="eastAsia"/>
                <w:color w:val="000000"/>
                <w:sz w:val="24"/>
                <w:szCs w:val="24"/>
              </w:rPr>
              <w:t>纸板箱盛放，</w:t>
            </w:r>
            <w:proofErr w:type="gramStart"/>
            <w:r>
              <w:rPr>
                <w:rFonts w:ascii="Calibri" w:eastAsia="宋体" w:hAnsi="Calibri" w:cs="Times New Roman" w:hint="eastAsia"/>
                <w:color w:val="000000"/>
                <w:sz w:val="24"/>
                <w:szCs w:val="24"/>
              </w:rPr>
              <w:t>送储</w:t>
            </w:r>
            <w:proofErr w:type="gramEnd"/>
            <w:r>
              <w:rPr>
                <w:rFonts w:ascii="Calibri" w:eastAsia="宋体" w:hAnsi="Calibri" w:cs="Times New Roman" w:hint="eastAsia"/>
                <w:color w:val="000000"/>
                <w:sz w:val="24"/>
                <w:szCs w:val="24"/>
              </w:rPr>
              <w:t>时再装入黄色塑料袋，贴好标签。</w:t>
            </w:r>
          </w:p>
        </w:tc>
        <w:tc>
          <w:tcPr>
            <w:tcW w:w="1326" w:type="dxa"/>
            <w:shd w:val="clear" w:color="auto" w:fill="auto"/>
            <w:tcMar>
              <w:left w:w="45" w:type="dxa"/>
              <w:right w:w="45" w:type="dxa"/>
            </w:tcMar>
            <w:vAlign w:val="center"/>
          </w:tcPr>
          <w:p w:rsidR="00D366F4" w:rsidRDefault="008D7F00">
            <w:pPr>
              <w:spacing w:line="320" w:lineRule="exact"/>
              <w:jc w:val="center"/>
              <w:rPr>
                <w:rFonts w:ascii="Times New Roman" w:eastAsia="宋体" w:hAnsi="Times New Roman" w:cs="Times New Roman"/>
                <w:color w:val="000000"/>
                <w:sz w:val="24"/>
                <w:szCs w:val="24"/>
              </w:rPr>
            </w:pPr>
            <w:r>
              <w:rPr>
                <w:rFonts w:ascii="Times New Roman" w:eastAsia="宋体" w:hAnsi="Times New Roman" w:cs="Times New Roman"/>
                <w:bCs/>
                <w:color w:val="000000"/>
                <w:sz w:val="24"/>
                <w:szCs w:val="24"/>
              </w:rPr>
              <w:t>*</w:t>
            </w:r>
          </w:p>
        </w:tc>
      </w:tr>
      <w:tr w:rsidR="00D366F4">
        <w:tc>
          <w:tcPr>
            <w:tcW w:w="562" w:type="dxa"/>
            <w:shd w:val="clear" w:color="auto" w:fill="auto"/>
            <w:tcMar>
              <w:left w:w="45" w:type="dxa"/>
              <w:right w:w="45" w:type="dxa"/>
            </w:tcMar>
            <w:vAlign w:val="center"/>
          </w:tcPr>
          <w:p w:rsidR="00D366F4" w:rsidRDefault="008D7F00">
            <w:pPr>
              <w:jc w:val="center"/>
              <w:rPr>
                <w:rFonts w:ascii="宋体" w:eastAsia="宋体" w:hAnsi="宋体" w:cs="宋体"/>
                <w:color w:val="000000"/>
                <w:sz w:val="22"/>
              </w:rPr>
            </w:pPr>
            <w:r>
              <w:rPr>
                <w:rFonts w:ascii="宋体" w:eastAsia="宋体" w:hAnsi="宋体" w:cs="宋体" w:hint="eastAsia"/>
                <w:color w:val="000000"/>
                <w:sz w:val="22"/>
              </w:rPr>
              <w:t>15</w:t>
            </w:r>
          </w:p>
        </w:tc>
        <w:tc>
          <w:tcPr>
            <w:tcW w:w="851" w:type="dxa"/>
            <w:shd w:val="clear" w:color="auto" w:fill="auto"/>
            <w:tcMar>
              <w:left w:w="45" w:type="dxa"/>
              <w:right w:w="45" w:type="dxa"/>
            </w:tcMar>
            <w:vAlign w:val="center"/>
          </w:tcPr>
          <w:p w:rsidR="00D366F4" w:rsidRDefault="008D7F00">
            <w:pPr>
              <w:spacing w:line="32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9.7.5</w:t>
            </w:r>
          </w:p>
        </w:tc>
        <w:tc>
          <w:tcPr>
            <w:tcW w:w="1843" w:type="dxa"/>
            <w:shd w:val="clear" w:color="auto" w:fill="auto"/>
            <w:tcMar>
              <w:left w:w="45" w:type="dxa"/>
              <w:right w:w="45" w:type="dxa"/>
            </w:tcMar>
            <w:vAlign w:val="center"/>
          </w:tcPr>
          <w:p w:rsidR="00D366F4" w:rsidRDefault="008D7F00">
            <w:pPr>
              <w:spacing w:line="320" w:lineRule="exact"/>
              <w:rPr>
                <w:rFonts w:ascii="宋体" w:eastAsia="宋体" w:hAnsi="宋体" w:cs="Times New Roman"/>
                <w:sz w:val="24"/>
                <w:szCs w:val="24"/>
              </w:rPr>
            </w:pPr>
            <w:r>
              <w:rPr>
                <w:rFonts w:ascii="宋体" w:eastAsia="宋体" w:hAnsi="宋体" w:cs="Times New Roman" w:hint="eastAsia"/>
                <w:sz w:val="24"/>
                <w:szCs w:val="24"/>
              </w:rPr>
              <w:t>生物</w:t>
            </w:r>
            <w:r>
              <w:rPr>
                <w:rFonts w:ascii="宋体" w:eastAsia="宋体" w:hAnsi="宋体" w:cs="Times New Roman"/>
                <w:sz w:val="24"/>
                <w:szCs w:val="24"/>
              </w:rPr>
              <w:t>实验废物处置</w:t>
            </w:r>
          </w:p>
        </w:tc>
        <w:tc>
          <w:tcPr>
            <w:tcW w:w="5528" w:type="dxa"/>
            <w:shd w:val="clear" w:color="auto" w:fill="auto"/>
            <w:tcMar>
              <w:left w:w="45" w:type="dxa"/>
              <w:right w:w="45" w:type="dxa"/>
            </w:tcMar>
            <w:vAlign w:val="center"/>
          </w:tcPr>
          <w:p w:rsidR="00D366F4" w:rsidRDefault="008D7F00">
            <w:pPr>
              <w:spacing w:line="320" w:lineRule="exact"/>
              <w:rPr>
                <w:rFonts w:ascii="Calibri" w:eastAsia="宋体" w:hAnsi="Calibri" w:cs="Times New Roman"/>
                <w:color w:val="000000"/>
                <w:sz w:val="24"/>
                <w:szCs w:val="24"/>
              </w:rPr>
            </w:pPr>
            <w:r>
              <w:rPr>
                <w:rFonts w:ascii="Calibri" w:eastAsia="宋体" w:hAnsi="Calibri" w:cs="Times New Roman" w:hint="eastAsia"/>
                <w:color w:val="000000"/>
                <w:sz w:val="24"/>
                <w:szCs w:val="24"/>
              </w:rPr>
              <w:t>涉及病原微生物的实验废弃物必须进行高温高压灭菌或化学浸泡处理，并有处置的记录。高致病性生物材料废弃物处置实现溯源追踪</w:t>
            </w:r>
          </w:p>
        </w:tc>
        <w:tc>
          <w:tcPr>
            <w:tcW w:w="1326" w:type="dxa"/>
            <w:shd w:val="clear" w:color="auto" w:fill="auto"/>
            <w:tcMar>
              <w:left w:w="45" w:type="dxa"/>
              <w:right w:w="45" w:type="dxa"/>
            </w:tcMar>
          </w:tcPr>
          <w:p w:rsidR="00D366F4" w:rsidRDefault="008D7F00">
            <w:pPr>
              <w:jc w:val="center"/>
              <w:rPr>
                <w:rFonts w:ascii="Calibri" w:eastAsia="宋体" w:hAnsi="Calibri" w:cs="Times New Roman"/>
              </w:rPr>
            </w:pPr>
            <w:r>
              <w:rPr>
                <w:rFonts w:ascii="Times New Roman" w:eastAsia="宋体" w:hAnsi="Times New Roman" w:cs="Times New Roman"/>
                <w:color w:val="000000"/>
                <w:sz w:val="24"/>
                <w:szCs w:val="24"/>
              </w:rPr>
              <w:t>**</w:t>
            </w:r>
          </w:p>
        </w:tc>
      </w:tr>
    </w:tbl>
    <w:p w:rsidR="00D366F4" w:rsidRDefault="00D366F4">
      <w:pPr>
        <w:spacing w:line="500" w:lineRule="exact"/>
        <w:ind w:left="360"/>
        <w:jc w:val="center"/>
        <w:rPr>
          <w:rFonts w:ascii="仿宋_GB2312" w:eastAsia="仿宋_GB2312" w:hAnsi="仿宋" w:cs="Times New Roman"/>
          <w:b/>
          <w:bCs/>
          <w:sz w:val="32"/>
          <w:szCs w:val="32"/>
        </w:rPr>
      </w:pPr>
    </w:p>
    <w:p w:rsidR="007B5828" w:rsidRDefault="007B5828">
      <w:pPr>
        <w:spacing w:line="500" w:lineRule="exact"/>
        <w:ind w:left="360"/>
        <w:jc w:val="center"/>
        <w:rPr>
          <w:rFonts w:ascii="仿宋_GB2312" w:eastAsia="仿宋_GB2312" w:hAnsi="仿宋" w:cs="Times New Roman"/>
          <w:b/>
          <w:bCs/>
          <w:sz w:val="32"/>
          <w:szCs w:val="32"/>
        </w:rPr>
      </w:pPr>
    </w:p>
    <w:p w:rsidR="007B5828" w:rsidRDefault="007B5828">
      <w:pPr>
        <w:spacing w:line="500" w:lineRule="exact"/>
        <w:ind w:left="360"/>
        <w:jc w:val="center"/>
        <w:rPr>
          <w:rFonts w:ascii="仿宋_GB2312" w:eastAsia="仿宋_GB2312" w:hAnsi="仿宋" w:cs="Times New Roman"/>
          <w:b/>
          <w:bCs/>
          <w:sz w:val="32"/>
          <w:szCs w:val="32"/>
        </w:rPr>
      </w:pPr>
    </w:p>
    <w:p w:rsidR="007B5828" w:rsidRDefault="007B5828">
      <w:pPr>
        <w:spacing w:line="500" w:lineRule="exact"/>
        <w:ind w:left="360"/>
        <w:jc w:val="center"/>
        <w:rPr>
          <w:rFonts w:ascii="仿宋_GB2312" w:eastAsia="仿宋_GB2312" w:hAnsi="仿宋" w:cs="Times New Roman"/>
          <w:b/>
          <w:bCs/>
          <w:sz w:val="32"/>
          <w:szCs w:val="32"/>
        </w:rPr>
      </w:pPr>
    </w:p>
    <w:p w:rsidR="007B5828" w:rsidRDefault="007B5828">
      <w:pPr>
        <w:spacing w:line="500" w:lineRule="exact"/>
        <w:ind w:left="360"/>
        <w:jc w:val="center"/>
        <w:rPr>
          <w:rFonts w:ascii="仿宋_GB2312" w:eastAsia="仿宋_GB2312" w:hAnsi="仿宋" w:cs="Times New Roman"/>
          <w:b/>
          <w:bCs/>
          <w:sz w:val="32"/>
          <w:szCs w:val="32"/>
        </w:rPr>
      </w:pPr>
    </w:p>
    <w:p w:rsidR="007B5828" w:rsidRDefault="007B5828">
      <w:pPr>
        <w:spacing w:line="500" w:lineRule="exact"/>
        <w:ind w:left="360"/>
        <w:jc w:val="center"/>
        <w:rPr>
          <w:rFonts w:ascii="仿宋_GB2312" w:eastAsia="仿宋_GB2312" w:hAnsi="仿宋" w:cs="Times New Roman" w:hint="eastAsia"/>
          <w:b/>
          <w:bCs/>
          <w:sz w:val="32"/>
          <w:szCs w:val="32"/>
        </w:rPr>
      </w:pPr>
      <w:bookmarkStart w:id="0" w:name="_GoBack"/>
      <w:bookmarkEnd w:id="0"/>
    </w:p>
    <w:p w:rsidR="00D366F4" w:rsidRDefault="008D7F00">
      <w:pPr>
        <w:spacing w:beforeLines="50" w:before="156" w:line="500" w:lineRule="exact"/>
        <w:jc w:val="left"/>
        <w:rPr>
          <w:rFonts w:ascii="仿宋" w:eastAsia="仿宋" w:hAnsi="仿宋"/>
          <w:b/>
          <w:sz w:val="28"/>
          <w:szCs w:val="24"/>
        </w:rPr>
      </w:pPr>
      <w:r>
        <w:rPr>
          <w:rFonts w:ascii="仿宋" w:eastAsia="仿宋" w:hAnsi="仿宋" w:hint="eastAsia"/>
          <w:b/>
          <w:sz w:val="28"/>
          <w:szCs w:val="24"/>
        </w:rPr>
        <w:lastRenderedPageBreak/>
        <w:t xml:space="preserve">表2. </w:t>
      </w:r>
    </w:p>
    <w:p w:rsidR="00D366F4" w:rsidRDefault="008D7F00">
      <w:pPr>
        <w:spacing w:beforeLines="50" w:before="156" w:line="500" w:lineRule="exact"/>
        <w:jc w:val="center"/>
        <w:rPr>
          <w:rFonts w:ascii="仿宋" w:eastAsia="仿宋" w:hAnsi="仿宋"/>
          <w:b/>
          <w:sz w:val="28"/>
          <w:szCs w:val="24"/>
        </w:rPr>
      </w:pPr>
      <w:r>
        <w:rPr>
          <w:rFonts w:ascii="仿宋" w:eastAsia="仿宋" w:hAnsi="仿宋" w:hint="eastAsia"/>
          <w:b/>
          <w:sz w:val="28"/>
          <w:szCs w:val="24"/>
        </w:rPr>
        <w:t>发现安全</w:t>
      </w:r>
      <w:r>
        <w:rPr>
          <w:rFonts w:ascii="仿宋" w:eastAsia="仿宋" w:hAnsi="仿宋"/>
          <w:b/>
          <w:sz w:val="28"/>
          <w:szCs w:val="24"/>
        </w:rPr>
        <w:t>隐患指标</w:t>
      </w:r>
      <w:r>
        <w:rPr>
          <w:rFonts w:ascii="仿宋" w:eastAsia="仿宋" w:hAnsi="仿宋" w:hint="eastAsia"/>
          <w:b/>
          <w:sz w:val="28"/>
          <w:szCs w:val="24"/>
        </w:rPr>
        <w:t>条款与</w:t>
      </w:r>
      <w:r>
        <w:rPr>
          <w:rFonts w:ascii="仿宋" w:eastAsia="仿宋" w:hAnsi="仿宋"/>
          <w:b/>
          <w:sz w:val="28"/>
          <w:szCs w:val="24"/>
        </w:rPr>
        <w:t>检查结</w:t>
      </w:r>
      <w:r>
        <w:rPr>
          <w:rFonts w:ascii="仿宋" w:eastAsia="仿宋" w:hAnsi="仿宋" w:hint="eastAsia"/>
          <w:b/>
          <w:sz w:val="28"/>
          <w:szCs w:val="24"/>
        </w:rPr>
        <w:t>果</w:t>
      </w:r>
      <w:r>
        <w:rPr>
          <w:rFonts w:ascii="仿宋" w:eastAsia="仿宋" w:hAnsi="仿宋"/>
          <w:b/>
          <w:sz w:val="28"/>
          <w:szCs w:val="24"/>
        </w:rPr>
        <w:t>的关系</w:t>
      </w:r>
    </w:p>
    <w:tbl>
      <w:tblPr>
        <w:tblStyle w:val="a7"/>
        <w:tblW w:w="8500" w:type="dxa"/>
        <w:jc w:val="center"/>
        <w:tblLayout w:type="fixed"/>
        <w:tblLook w:val="04A0" w:firstRow="1" w:lastRow="0" w:firstColumn="1" w:lastColumn="0" w:noHBand="0" w:noVBand="1"/>
      </w:tblPr>
      <w:tblGrid>
        <w:gridCol w:w="658"/>
        <w:gridCol w:w="1724"/>
        <w:gridCol w:w="1631"/>
        <w:gridCol w:w="1695"/>
        <w:gridCol w:w="1375"/>
        <w:gridCol w:w="1417"/>
      </w:tblGrid>
      <w:tr w:rsidR="00D366F4">
        <w:trPr>
          <w:trHeight w:val="535"/>
          <w:jc w:val="center"/>
        </w:trPr>
        <w:tc>
          <w:tcPr>
            <w:tcW w:w="658" w:type="dxa"/>
            <w:vAlign w:val="center"/>
          </w:tcPr>
          <w:p w:rsidR="00D366F4" w:rsidRDefault="008D7F00">
            <w:pPr>
              <w:jc w:val="center"/>
              <w:rPr>
                <w:rFonts w:asciiTheme="minorEastAsia" w:hAnsiTheme="minorEastAsia"/>
                <w:b/>
                <w:sz w:val="24"/>
              </w:rPr>
            </w:pPr>
            <w:r>
              <w:rPr>
                <w:rFonts w:asciiTheme="minorEastAsia" w:hAnsiTheme="minorEastAsia" w:hint="eastAsia"/>
                <w:b/>
                <w:sz w:val="24"/>
              </w:rPr>
              <w:t>序号</w:t>
            </w:r>
          </w:p>
        </w:tc>
        <w:tc>
          <w:tcPr>
            <w:tcW w:w="1724" w:type="dxa"/>
            <w:vAlign w:val="center"/>
          </w:tcPr>
          <w:p w:rsidR="00D366F4" w:rsidRDefault="008D7F00">
            <w:pPr>
              <w:jc w:val="center"/>
              <w:rPr>
                <w:rFonts w:asciiTheme="minorEastAsia" w:hAnsiTheme="minorEastAsia"/>
                <w:b/>
                <w:sz w:val="24"/>
              </w:rPr>
            </w:pPr>
            <w:r>
              <w:rPr>
                <w:rFonts w:asciiTheme="minorEastAsia" w:hAnsiTheme="minorEastAsia"/>
                <w:b/>
                <w:sz w:val="24"/>
              </w:rPr>
              <w:t>条款</w:t>
            </w:r>
            <w:r>
              <w:rPr>
                <w:rFonts w:asciiTheme="minorEastAsia" w:hAnsiTheme="minorEastAsia" w:hint="eastAsia"/>
                <w:b/>
                <w:sz w:val="24"/>
              </w:rPr>
              <w:t>类别</w:t>
            </w:r>
          </w:p>
        </w:tc>
        <w:tc>
          <w:tcPr>
            <w:tcW w:w="6118" w:type="dxa"/>
            <w:gridSpan w:val="4"/>
            <w:vAlign w:val="center"/>
          </w:tcPr>
          <w:p w:rsidR="00D366F4" w:rsidRDefault="008D7F00">
            <w:pPr>
              <w:jc w:val="center"/>
              <w:rPr>
                <w:rFonts w:asciiTheme="minorEastAsia" w:hAnsiTheme="minorEastAsia"/>
                <w:b/>
                <w:sz w:val="24"/>
              </w:rPr>
            </w:pPr>
            <w:r>
              <w:rPr>
                <w:rFonts w:asciiTheme="minorEastAsia" w:hAnsiTheme="minorEastAsia" w:hint="eastAsia"/>
                <w:b/>
                <w:sz w:val="24"/>
              </w:rPr>
              <w:t>不符合</w:t>
            </w:r>
            <w:r>
              <w:rPr>
                <w:rFonts w:asciiTheme="minorEastAsia" w:hAnsiTheme="minorEastAsia"/>
                <w:b/>
                <w:sz w:val="24"/>
              </w:rPr>
              <w:t>条款数</w:t>
            </w:r>
          </w:p>
        </w:tc>
      </w:tr>
      <w:tr w:rsidR="00D366F4">
        <w:trPr>
          <w:trHeight w:val="476"/>
          <w:jc w:val="center"/>
        </w:trPr>
        <w:tc>
          <w:tcPr>
            <w:tcW w:w="658" w:type="dxa"/>
            <w:vAlign w:val="center"/>
          </w:tcPr>
          <w:p w:rsidR="00D366F4" w:rsidRDefault="008D7F00">
            <w:pPr>
              <w:jc w:val="center"/>
              <w:rPr>
                <w:rFonts w:asciiTheme="minorEastAsia" w:hAnsiTheme="minorEastAsia"/>
                <w:sz w:val="24"/>
              </w:rPr>
            </w:pPr>
            <w:r>
              <w:rPr>
                <w:rFonts w:asciiTheme="minorEastAsia" w:hAnsiTheme="minorEastAsia" w:hint="eastAsia"/>
                <w:sz w:val="24"/>
              </w:rPr>
              <w:t>1</w:t>
            </w:r>
          </w:p>
        </w:tc>
        <w:tc>
          <w:tcPr>
            <w:tcW w:w="1724" w:type="dxa"/>
            <w:vAlign w:val="center"/>
          </w:tcPr>
          <w:p w:rsidR="00D366F4" w:rsidRDefault="008D7F00">
            <w:pPr>
              <w:jc w:val="center"/>
              <w:rPr>
                <w:rFonts w:asciiTheme="minorEastAsia" w:hAnsiTheme="minorEastAsia"/>
                <w:sz w:val="24"/>
              </w:rPr>
            </w:pPr>
            <w:r>
              <w:rPr>
                <w:rFonts w:asciiTheme="minorEastAsia" w:hAnsiTheme="minorEastAsia" w:hint="eastAsia"/>
                <w:sz w:val="24"/>
              </w:rPr>
              <w:t>三星***</w:t>
            </w:r>
          </w:p>
        </w:tc>
        <w:tc>
          <w:tcPr>
            <w:tcW w:w="1631" w:type="dxa"/>
            <w:vAlign w:val="center"/>
          </w:tcPr>
          <w:p w:rsidR="00D366F4" w:rsidRDefault="008D7F00">
            <w:pPr>
              <w:jc w:val="center"/>
              <w:rPr>
                <w:rFonts w:asciiTheme="minorEastAsia" w:hAnsiTheme="minorEastAsia"/>
                <w:sz w:val="24"/>
              </w:rPr>
            </w:pPr>
            <w:r>
              <w:rPr>
                <w:rFonts w:asciiTheme="minorEastAsia" w:hAnsiTheme="minorEastAsia" w:hint="eastAsia"/>
                <w:sz w:val="24"/>
              </w:rPr>
              <w:t>0</w:t>
            </w:r>
          </w:p>
        </w:tc>
        <w:tc>
          <w:tcPr>
            <w:tcW w:w="1695" w:type="dxa"/>
            <w:vAlign w:val="center"/>
          </w:tcPr>
          <w:p w:rsidR="00D366F4" w:rsidRDefault="008D7F00">
            <w:pPr>
              <w:jc w:val="center"/>
              <w:rPr>
                <w:rFonts w:asciiTheme="minorEastAsia" w:hAnsiTheme="minorEastAsia"/>
                <w:sz w:val="24"/>
              </w:rPr>
            </w:pPr>
            <w:r>
              <w:rPr>
                <w:rFonts w:asciiTheme="minorEastAsia" w:hAnsiTheme="minorEastAsia" w:hint="eastAsia"/>
                <w:sz w:val="24"/>
              </w:rPr>
              <w:t>0</w:t>
            </w:r>
          </w:p>
        </w:tc>
        <w:tc>
          <w:tcPr>
            <w:tcW w:w="1375" w:type="dxa"/>
            <w:vAlign w:val="center"/>
          </w:tcPr>
          <w:p w:rsidR="00D366F4" w:rsidRDefault="008D7F00">
            <w:pPr>
              <w:jc w:val="center"/>
              <w:rPr>
                <w:rFonts w:asciiTheme="minorEastAsia" w:hAnsiTheme="minorEastAsia"/>
                <w:sz w:val="24"/>
              </w:rPr>
            </w:pPr>
            <w:r>
              <w:rPr>
                <w:rFonts w:asciiTheme="minorEastAsia" w:hAnsiTheme="minorEastAsia" w:hint="eastAsia"/>
                <w:sz w:val="24"/>
              </w:rPr>
              <w:t>0</w:t>
            </w:r>
          </w:p>
        </w:tc>
        <w:tc>
          <w:tcPr>
            <w:tcW w:w="1417" w:type="dxa"/>
            <w:vAlign w:val="center"/>
          </w:tcPr>
          <w:p w:rsidR="00D366F4" w:rsidRDefault="008D7F00">
            <w:pPr>
              <w:jc w:val="center"/>
              <w:rPr>
                <w:rFonts w:asciiTheme="minorEastAsia" w:hAnsiTheme="minorEastAsia"/>
                <w:sz w:val="24"/>
              </w:rPr>
            </w:pPr>
            <w:r>
              <w:rPr>
                <w:rFonts w:asciiTheme="minorEastAsia" w:hAnsiTheme="minorEastAsia" w:hint="eastAsia"/>
                <w:sz w:val="24"/>
              </w:rPr>
              <w:t>1</w:t>
            </w:r>
          </w:p>
        </w:tc>
      </w:tr>
      <w:tr w:rsidR="00D366F4">
        <w:trPr>
          <w:trHeight w:val="413"/>
          <w:jc w:val="center"/>
        </w:trPr>
        <w:tc>
          <w:tcPr>
            <w:tcW w:w="658" w:type="dxa"/>
            <w:vAlign w:val="center"/>
          </w:tcPr>
          <w:p w:rsidR="00D366F4" w:rsidRDefault="008D7F00">
            <w:pPr>
              <w:jc w:val="center"/>
              <w:rPr>
                <w:rFonts w:asciiTheme="minorEastAsia" w:hAnsiTheme="minorEastAsia"/>
                <w:sz w:val="24"/>
              </w:rPr>
            </w:pPr>
            <w:r>
              <w:rPr>
                <w:rFonts w:asciiTheme="minorEastAsia" w:hAnsiTheme="minorEastAsia" w:hint="eastAsia"/>
                <w:sz w:val="24"/>
              </w:rPr>
              <w:t>2</w:t>
            </w:r>
          </w:p>
        </w:tc>
        <w:tc>
          <w:tcPr>
            <w:tcW w:w="1724" w:type="dxa"/>
            <w:vAlign w:val="center"/>
          </w:tcPr>
          <w:p w:rsidR="00D366F4" w:rsidRDefault="008D7F00">
            <w:pPr>
              <w:jc w:val="center"/>
              <w:rPr>
                <w:rFonts w:asciiTheme="minorEastAsia" w:hAnsiTheme="minorEastAsia"/>
                <w:sz w:val="24"/>
              </w:rPr>
            </w:pPr>
            <w:r>
              <w:rPr>
                <w:rFonts w:asciiTheme="minorEastAsia" w:hAnsiTheme="minorEastAsia" w:hint="eastAsia"/>
                <w:sz w:val="24"/>
              </w:rPr>
              <w:t>二星**</w:t>
            </w:r>
          </w:p>
        </w:tc>
        <w:tc>
          <w:tcPr>
            <w:tcW w:w="1631" w:type="dxa"/>
            <w:vAlign w:val="center"/>
          </w:tcPr>
          <w:p w:rsidR="00D366F4" w:rsidRDefault="008D7F00">
            <w:pPr>
              <w:jc w:val="center"/>
              <w:rPr>
                <w:rFonts w:asciiTheme="minorEastAsia" w:hAnsiTheme="minorEastAsia"/>
                <w:sz w:val="24"/>
              </w:rPr>
            </w:pPr>
            <w:r>
              <w:rPr>
                <w:rFonts w:asciiTheme="minorEastAsia" w:hAnsiTheme="minorEastAsia" w:hint="eastAsia"/>
                <w:sz w:val="24"/>
              </w:rPr>
              <w:t>0</w:t>
            </w:r>
          </w:p>
        </w:tc>
        <w:tc>
          <w:tcPr>
            <w:tcW w:w="1695" w:type="dxa"/>
            <w:vAlign w:val="center"/>
          </w:tcPr>
          <w:p w:rsidR="00D366F4" w:rsidRDefault="008D7F00">
            <w:pPr>
              <w:jc w:val="center"/>
              <w:rPr>
                <w:rFonts w:asciiTheme="minorEastAsia" w:hAnsiTheme="minorEastAsia"/>
                <w:sz w:val="24"/>
              </w:rPr>
            </w:pPr>
            <w:r>
              <w:rPr>
                <w:rFonts w:asciiTheme="minorEastAsia" w:hAnsiTheme="minorEastAsia"/>
                <w:sz w:val="24"/>
              </w:rPr>
              <w:t>1-</w:t>
            </w:r>
            <w:r>
              <w:rPr>
                <w:rFonts w:asciiTheme="minorEastAsia" w:hAnsiTheme="minorEastAsia" w:hint="eastAsia"/>
                <w:sz w:val="24"/>
              </w:rPr>
              <w:t>7</w:t>
            </w:r>
          </w:p>
        </w:tc>
        <w:tc>
          <w:tcPr>
            <w:tcW w:w="1375" w:type="dxa"/>
            <w:vAlign w:val="center"/>
          </w:tcPr>
          <w:p w:rsidR="00D366F4" w:rsidRDefault="008D7F00">
            <w:pPr>
              <w:jc w:val="center"/>
              <w:rPr>
                <w:rFonts w:asciiTheme="minorEastAsia" w:hAnsiTheme="minorEastAsia"/>
                <w:sz w:val="24"/>
              </w:rPr>
            </w:pPr>
            <w:r>
              <w:rPr>
                <w:rFonts w:asciiTheme="minorEastAsia" w:hAnsiTheme="minorEastAsia" w:hint="eastAsia"/>
                <w:sz w:val="24"/>
              </w:rPr>
              <w:t>8</w:t>
            </w:r>
            <w:r>
              <w:rPr>
                <w:rFonts w:asciiTheme="minorEastAsia" w:hAnsiTheme="minorEastAsia"/>
                <w:sz w:val="24"/>
              </w:rPr>
              <w:t>-</w:t>
            </w:r>
            <w:r>
              <w:rPr>
                <w:rFonts w:asciiTheme="minorEastAsia" w:hAnsiTheme="minorEastAsia" w:hint="eastAsia"/>
                <w:sz w:val="24"/>
              </w:rPr>
              <w:t>14</w:t>
            </w:r>
          </w:p>
        </w:tc>
        <w:tc>
          <w:tcPr>
            <w:tcW w:w="1417" w:type="dxa"/>
            <w:vAlign w:val="center"/>
          </w:tcPr>
          <w:p w:rsidR="00D366F4" w:rsidRDefault="008D7F00">
            <w:pPr>
              <w:jc w:val="center"/>
              <w:rPr>
                <w:rFonts w:asciiTheme="minorEastAsia" w:hAnsiTheme="minorEastAsia"/>
                <w:sz w:val="24"/>
              </w:rPr>
            </w:pPr>
            <w:r>
              <w:rPr>
                <w:rFonts w:asciiTheme="minorEastAsia" w:hAnsiTheme="minorEastAsia" w:hint="eastAsia"/>
                <w:sz w:val="24"/>
              </w:rPr>
              <w:t>≥15</w:t>
            </w:r>
          </w:p>
        </w:tc>
      </w:tr>
      <w:tr w:rsidR="00D366F4">
        <w:trPr>
          <w:trHeight w:val="419"/>
          <w:jc w:val="center"/>
        </w:trPr>
        <w:tc>
          <w:tcPr>
            <w:tcW w:w="658" w:type="dxa"/>
            <w:vAlign w:val="center"/>
          </w:tcPr>
          <w:p w:rsidR="00D366F4" w:rsidRDefault="008D7F00">
            <w:pPr>
              <w:jc w:val="center"/>
              <w:rPr>
                <w:rFonts w:asciiTheme="minorEastAsia" w:hAnsiTheme="minorEastAsia"/>
                <w:sz w:val="24"/>
              </w:rPr>
            </w:pPr>
            <w:r>
              <w:rPr>
                <w:rFonts w:asciiTheme="minorEastAsia" w:hAnsiTheme="minorEastAsia" w:hint="eastAsia"/>
                <w:sz w:val="24"/>
              </w:rPr>
              <w:t>3</w:t>
            </w:r>
          </w:p>
        </w:tc>
        <w:tc>
          <w:tcPr>
            <w:tcW w:w="1724" w:type="dxa"/>
            <w:vAlign w:val="center"/>
          </w:tcPr>
          <w:p w:rsidR="00D366F4" w:rsidRDefault="008D7F00">
            <w:pPr>
              <w:jc w:val="center"/>
              <w:rPr>
                <w:rFonts w:asciiTheme="minorEastAsia" w:hAnsiTheme="minorEastAsia"/>
                <w:sz w:val="24"/>
              </w:rPr>
            </w:pPr>
            <w:r>
              <w:rPr>
                <w:rFonts w:asciiTheme="minorEastAsia" w:hAnsiTheme="minorEastAsia" w:hint="eastAsia"/>
                <w:sz w:val="24"/>
              </w:rPr>
              <w:t>一星*</w:t>
            </w:r>
          </w:p>
        </w:tc>
        <w:tc>
          <w:tcPr>
            <w:tcW w:w="1631" w:type="dxa"/>
            <w:vAlign w:val="center"/>
          </w:tcPr>
          <w:p w:rsidR="00D366F4" w:rsidRDefault="008D7F00">
            <w:pPr>
              <w:jc w:val="center"/>
              <w:rPr>
                <w:rFonts w:asciiTheme="minorEastAsia" w:hAnsiTheme="minorEastAsia"/>
                <w:sz w:val="24"/>
              </w:rPr>
            </w:pPr>
            <w:r>
              <w:rPr>
                <w:rFonts w:asciiTheme="minorEastAsia" w:hAnsiTheme="minorEastAsia" w:hint="eastAsia"/>
                <w:sz w:val="24"/>
              </w:rPr>
              <w:t>2</w:t>
            </w:r>
          </w:p>
        </w:tc>
        <w:tc>
          <w:tcPr>
            <w:tcW w:w="1695" w:type="dxa"/>
            <w:vAlign w:val="center"/>
          </w:tcPr>
          <w:p w:rsidR="00D366F4" w:rsidRDefault="008D7F00">
            <w:pPr>
              <w:jc w:val="center"/>
              <w:rPr>
                <w:rFonts w:asciiTheme="minorEastAsia" w:hAnsiTheme="minorEastAsia"/>
                <w:sz w:val="24"/>
              </w:rPr>
            </w:pPr>
            <w:r>
              <w:rPr>
                <w:rFonts w:asciiTheme="minorEastAsia" w:hAnsiTheme="minorEastAsia" w:hint="eastAsia"/>
                <w:sz w:val="24"/>
              </w:rPr>
              <w:t>3</w:t>
            </w:r>
            <w:r>
              <w:rPr>
                <w:rFonts w:asciiTheme="minorEastAsia" w:hAnsiTheme="minorEastAsia"/>
                <w:sz w:val="24"/>
              </w:rPr>
              <w:t>-15</w:t>
            </w:r>
          </w:p>
        </w:tc>
        <w:tc>
          <w:tcPr>
            <w:tcW w:w="1375" w:type="dxa"/>
            <w:vAlign w:val="center"/>
          </w:tcPr>
          <w:p w:rsidR="00D366F4" w:rsidRDefault="008D7F00">
            <w:pPr>
              <w:jc w:val="center"/>
              <w:rPr>
                <w:rFonts w:asciiTheme="minorEastAsia" w:hAnsiTheme="minorEastAsia"/>
                <w:sz w:val="24"/>
              </w:rPr>
            </w:pPr>
            <w:r>
              <w:rPr>
                <w:rFonts w:asciiTheme="minorEastAsia" w:hAnsiTheme="minorEastAsia"/>
                <w:sz w:val="24"/>
              </w:rPr>
              <w:t>16-25</w:t>
            </w:r>
          </w:p>
        </w:tc>
        <w:tc>
          <w:tcPr>
            <w:tcW w:w="1417" w:type="dxa"/>
            <w:vAlign w:val="center"/>
          </w:tcPr>
          <w:p w:rsidR="00D366F4" w:rsidRDefault="008D7F00">
            <w:pPr>
              <w:jc w:val="center"/>
              <w:rPr>
                <w:rFonts w:asciiTheme="minorEastAsia" w:hAnsiTheme="minorEastAsia"/>
                <w:sz w:val="24"/>
              </w:rPr>
            </w:pPr>
            <w:r>
              <w:rPr>
                <w:rFonts w:asciiTheme="minorEastAsia" w:hAnsiTheme="minorEastAsia" w:hint="eastAsia"/>
                <w:sz w:val="24"/>
              </w:rPr>
              <w:t>≥26</w:t>
            </w:r>
          </w:p>
        </w:tc>
      </w:tr>
      <w:tr w:rsidR="00D366F4">
        <w:trPr>
          <w:trHeight w:val="419"/>
          <w:jc w:val="center"/>
        </w:trPr>
        <w:tc>
          <w:tcPr>
            <w:tcW w:w="658" w:type="dxa"/>
            <w:vAlign w:val="center"/>
          </w:tcPr>
          <w:p w:rsidR="00D366F4" w:rsidRDefault="008D7F00">
            <w:pPr>
              <w:jc w:val="center"/>
              <w:rPr>
                <w:rFonts w:asciiTheme="minorEastAsia" w:hAnsiTheme="minorEastAsia"/>
                <w:sz w:val="24"/>
              </w:rPr>
            </w:pPr>
            <w:r>
              <w:rPr>
                <w:rFonts w:asciiTheme="minorEastAsia" w:hAnsiTheme="minorEastAsia" w:hint="eastAsia"/>
                <w:sz w:val="24"/>
              </w:rPr>
              <w:t>4</w:t>
            </w:r>
          </w:p>
        </w:tc>
        <w:tc>
          <w:tcPr>
            <w:tcW w:w="1724" w:type="dxa"/>
            <w:vAlign w:val="center"/>
          </w:tcPr>
          <w:p w:rsidR="00D366F4" w:rsidRDefault="008D7F00">
            <w:pPr>
              <w:jc w:val="center"/>
              <w:rPr>
                <w:rFonts w:asciiTheme="minorEastAsia" w:hAnsiTheme="minorEastAsia"/>
                <w:sz w:val="24"/>
              </w:rPr>
            </w:pPr>
            <w:r>
              <w:rPr>
                <w:rFonts w:asciiTheme="minorEastAsia" w:hAnsiTheme="minorEastAsia" w:hint="eastAsia"/>
                <w:sz w:val="24"/>
              </w:rPr>
              <w:t>所有条款数</w:t>
            </w:r>
          </w:p>
        </w:tc>
        <w:tc>
          <w:tcPr>
            <w:tcW w:w="1631" w:type="dxa"/>
            <w:vAlign w:val="center"/>
          </w:tcPr>
          <w:p w:rsidR="00D366F4" w:rsidRDefault="008D7F00">
            <w:pPr>
              <w:jc w:val="center"/>
              <w:rPr>
                <w:rFonts w:asciiTheme="minorEastAsia" w:hAnsiTheme="minorEastAsia"/>
                <w:sz w:val="24"/>
              </w:rPr>
            </w:pPr>
            <w:r>
              <w:rPr>
                <w:rFonts w:asciiTheme="minorEastAsia" w:hAnsiTheme="minorEastAsia" w:hint="eastAsia"/>
                <w:sz w:val="24"/>
              </w:rPr>
              <w:t>8</w:t>
            </w:r>
          </w:p>
        </w:tc>
        <w:tc>
          <w:tcPr>
            <w:tcW w:w="1695" w:type="dxa"/>
            <w:vAlign w:val="center"/>
          </w:tcPr>
          <w:p w:rsidR="00D366F4" w:rsidRDefault="008D7F00">
            <w:pPr>
              <w:jc w:val="center"/>
              <w:rPr>
                <w:rFonts w:asciiTheme="minorEastAsia" w:hAnsiTheme="minorEastAsia"/>
                <w:sz w:val="24"/>
              </w:rPr>
            </w:pPr>
            <w:r>
              <w:rPr>
                <w:rFonts w:asciiTheme="minorEastAsia" w:hAnsiTheme="minorEastAsia" w:hint="eastAsia"/>
                <w:sz w:val="24"/>
              </w:rPr>
              <w:t>9-</w:t>
            </w:r>
            <w:r>
              <w:rPr>
                <w:rFonts w:asciiTheme="minorEastAsia" w:hAnsiTheme="minorEastAsia"/>
                <w:sz w:val="24"/>
              </w:rPr>
              <w:t>30</w:t>
            </w:r>
          </w:p>
        </w:tc>
        <w:tc>
          <w:tcPr>
            <w:tcW w:w="1375" w:type="dxa"/>
            <w:vAlign w:val="center"/>
          </w:tcPr>
          <w:p w:rsidR="00D366F4" w:rsidRDefault="008D7F00">
            <w:pPr>
              <w:jc w:val="center"/>
              <w:rPr>
                <w:rFonts w:asciiTheme="minorEastAsia" w:hAnsiTheme="minorEastAsia"/>
                <w:sz w:val="24"/>
              </w:rPr>
            </w:pPr>
            <w:r>
              <w:rPr>
                <w:rFonts w:asciiTheme="minorEastAsia" w:hAnsiTheme="minorEastAsia"/>
                <w:sz w:val="24"/>
              </w:rPr>
              <w:t>31</w:t>
            </w:r>
            <w:r>
              <w:rPr>
                <w:rFonts w:asciiTheme="minorEastAsia" w:hAnsiTheme="minorEastAsia" w:hint="eastAsia"/>
                <w:sz w:val="24"/>
              </w:rPr>
              <w:t>-40</w:t>
            </w:r>
          </w:p>
        </w:tc>
        <w:tc>
          <w:tcPr>
            <w:tcW w:w="1417" w:type="dxa"/>
            <w:vAlign w:val="center"/>
          </w:tcPr>
          <w:p w:rsidR="00D366F4" w:rsidRDefault="008D7F00">
            <w:pPr>
              <w:jc w:val="center"/>
              <w:rPr>
                <w:rFonts w:asciiTheme="minorEastAsia" w:hAnsiTheme="minorEastAsia"/>
                <w:sz w:val="24"/>
              </w:rPr>
            </w:pPr>
            <w:r>
              <w:rPr>
                <w:rFonts w:asciiTheme="minorEastAsia" w:hAnsiTheme="minorEastAsia" w:hint="eastAsia"/>
                <w:sz w:val="24"/>
              </w:rPr>
              <w:t>≥41</w:t>
            </w:r>
          </w:p>
        </w:tc>
      </w:tr>
      <w:tr w:rsidR="00D366F4">
        <w:trPr>
          <w:trHeight w:val="419"/>
          <w:jc w:val="center"/>
        </w:trPr>
        <w:tc>
          <w:tcPr>
            <w:tcW w:w="658" w:type="dxa"/>
            <w:vAlign w:val="center"/>
          </w:tcPr>
          <w:p w:rsidR="00D366F4" w:rsidRDefault="00D366F4">
            <w:pPr>
              <w:jc w:val="center"/>
              <w:rPr>
                <w:rFonts w:asciiTheme="minorEastAsia" w:hAnsiTheme="minorEastAsia"/>
                <w:b/>
                <w:sz w:val="24"/>
              </w:rPr>
            </w:pPr>
          </w:p>
        </w:tc>
        <w:tc>
          <w:tcPr>
            <w:tcW w:w="1724" w:type="dxa"/>
            <w:vAlign w:val="center"/>
          </w:tcPr>
          <w:p w:rsidR="00D366F4" w:rsidRDefault="008D7F00">
            <w:pPr>
              <w:jc w:val="center"/>
              <w:rPr>
                <w:rFonts w:asciiTheme="minorEastAsia" w:hAnsiTheme="minorEastAsia"/>
                <w:sz w:val="24"/>
              </w:rPr>
            </w:pPr>
            <w:r>
              <w:rPr>
                <w:rFonts w:asciiTheme="minorEastAsia" w:hAnsiTheme="minorEastAsia" w:hint="eastAsia"/>
                <w:b/>
                <w:sz w:val="24"/>
              </w:rPr>
              <w:t>检查结果</w:t>
            </w:r>
          </w:p>
        </w:tc>
        <w:tc>
          <w:tcPr>
            <w:tcW w:w="1631" w:type="dxa"/>
            <w:vAlign w:val="center"/>
          </w:tcPr>
          <w:p w:rsidR="00D366F4" w:rsidRDefault="008D7F00">
            <w:pPr>
              <w:jc w:val="center"/>
              <w:rPr>
                <w:rFonts w:asciiTheme="minorEastAsia" w:hAnsiTheme="minorEastAsia"/>
                <w:b/>
                <w:sz w:val="24"/>
              </w:rPr>
            </w:pPr>
            <w:r>
              <w:rPr>
                <w:rFonts w:asciiTheme="minorEastAsia" w:hAnsiTheme="minorEastAsia" w:hint="eastAsia"/>
                <w:b/>
                <w:sz w:val="24"/>
              </w:rPr>
              <w:t>A</w:t>
            </w:r>
          </w:p>
        </w:tc>
        <w:tc>
          <w:tcPr>
            <w:tcW w:w="1695" w:type="dxa"/>
            <w:vAlign w:val="center"/>
          </w:tcPr>
          <w:p w:rsidR="00D366F4" w:rsidRDefault="008D7F00">
            <w:pPr>
              <w:jc w:val="center"/>
              <w:rPr>
                <w:rFonts w:asciiTheme="minorEastAsia" w:hAnsiTheme="minorEastAsia"/>
                <w:b/>
                <w:sz w:val="24"/>
              </w:rPr>
            </w:pPr>
            <w:r>
              <w:rPr>
                <w:rFonts w:asciiTheme="minorEastAsia" w:hAnsiTheme="minorEastAsia" w:hint="eastAsia"/>
                <w:b/>
                <w:sz w:val="24"/>
              </w:rPr>
              <w:t>B</w:t>
            </w:r>
          </w:p>
        </w:tc>
        <w:tc>
          <w:tcPr>
            <w:tcW w:w="1375" w:type="dxa"/>
            <w:vAlign w:val="center"/>
          </w:tcPr>
          <w:p w:rsidR="00D366F4" w:rsidRDefault="008D7F00">
            <w:pPr>
              <w:jc w:val="center"/>
              <w:rPr>
                <w:rFonts w:asciiTheme="minorEastAsia" w:hAnsiTheme="minorEastAsia"/>
                <w:b/>
                <w:sz w:val="24"/>
              </w:rPr>
            </w:pPr>
            <w:r>
              <w:rPr>
                <w:rFonts w:asciiTheme="minorEastAsia" w:hAnsiTheme="minorEastAsia" w:hint="eastAsia"/>
                <w:b/>
                <w:sz w:val="24"/>
              </w:rPr>
              <w:t>C</w:t>
            </w:r>
          </w:p>
        </w:tc>
        <w:tc>
          <w:tcPr>
            <w:tcW w:w="1417" w:type="dxa"/>
            <w:vAlign w:val="center"/>
          </w:tcPr>
          <w:p w:rsidR="00D366F4" w:rsidRDefault="008D7F00">
            <w:pPr>
              <w:jc w:val="center"/>
              <w:rPr>
                <w:rFonts w:asciiTheme="minorEastAsia" w:hAnsiTheme="minorEastAsia"/>
                <w:b/>
                <w:sz w:val="24"/>
              </w:rPr>
            </w:pPr>
            <w:r>
              <w:rPr>
                <w:rFonts w:asciiTheme="minorEastAsia" w:hAnsiTheme="minorEastAsia" w:hint="eastAsia"/>
                <w:b/>
                <w:sz w:val="24"/>
              </w:rPr>
              <w:t>D</w:t>
            </w:r>
          </w:p>
        </w:tc>
      </w:tr>
    </w:tbl>
    <w:p w:rsidR="00D366F4" w:rsidRDefault="008D7F00">
      <w:pPr>
        <w:spacing w:line="440" w:lineRule="exact"/>
        <w:ind w:firstLineChars="100" w:firstLine="240"/>
        <w:rPr>
          <w:rFonts w:ascii="仿宋" w:eastAsia="仿宋" w:hAnsi="仿宋"/>
          <w:sz w:val="24"/>
          <w:szCs w:val="24"/>
        </w:rPr>
      </w:pPr>
      <w:r>
        <w:rPr>
          <w:rFonts w:ascii="仿宋" w:eastAsia="仿宋" w:hAnsi="仿宋" w:hint="eastAsia"/>
          <w:sz w:val="24"/>
          <w:szCs w:val="24"/>
        </w:rPr>
        <w:t>注1.以上</w:t>
      </w:r>
      <w:r>
        <w:rPr>
          <w:rFonts w:ascii="仿宋" w:eastAsia="仿宋" w:hAnsi="仿宋"/>
          <w:sz w:val="24"/>
          <w:szCs w:val="24"/>
        </w:rPr>
        <w:t>判别</w:t>
      </w:r>
      <w:r>
        <w:rPr>
          <w:rFonts w:ascii="仿宋" w:eastAsia="仿宋" w:hAnsi="仿宋" w:hint="eastAsia"/>
          <w:sz w:val="24"/>
          <w:szCs w:val="24"/>
        </w:rPr>
        <w:t>条款数</w:t>
      </w:r>
      <w:r>
        <w:rPr>
          <w:rFonts w:ascii="仿宋" w:eastAsia="仿宋" w:hAnsi="仿宋"/>
          <w:sz w:val="24"/>
          <w:szCs w:val="24"/>
        </w:rPr>
        <w:t>，是并列的，只要符合</w:t>
      </w:r>
      <w:r>
        <w:rPr>
          <w:rFonts w:ascii="仿宋" w:eastAsia="仿宋" w:hAnsi="仿宋" w:hint="eastAsia"/>
          <w:sz w:val="24"/>
          <w:szCs w:val="24"/>
        </w:rPr>
        <w:t>1条</w:t>
      </w:r>
      <w:r>
        <w:rPr>
          <w:rFonts w:ascii="仿宋" w:eastAsia="仿宋" w:hAnsi="仿宋"/>
          <w:sz w:val="24"/>
          <w:szCs w:val="24"/>
        </w:rPr>
        <w:t>即可</w:t>
      </w:r>
      <w:r>
        <w:rPr>
          <w:rFonts w:ascii="仿宋" w:eastAsia="仿宋" w:hAnsi="仿宋" w:hint="eastAsia"/>
          <w:sz w:val="24"/>
          <w:szCs w:val="24"/>
        </w:rPr>
        <w:t>判</w:t>
      </w:r>
      <w:r>
        <w:rPr>
          <w:rFonts w:ascii="仿宋" w:eastAsia="仿宋" w:hAnsi="仿宋"/>
          <w:sz w:val="24"/>
          <w:szCs w:val="24"/>
        </w:rPr>
        <w:t>为相应的</w:t>
      </w:r>
      <w:r>
        <w:rPr>
          <w:rFonts w:ascii="仿宋" w:eastAsia="仿宋" w:hAnsi="仿宋" w:hint="eastAsia"/>
          <w:sz w:val="24"/>
          <w:szCs w:val="24"/>
        </w:rPr>
        <w:t>等级</w:t>
      </w:r>
      <w:r>
        <w:rPr>
          <w:rFonts w:ascii="仿宋" w:eastAsia="仿宋" w:hAnsi="仿宋"/>
          <w:sz w:val="24"/>
          <w:szCs w:val="24"/>
        </w:rPr>
        <w:t>。</w:t>
      </w:r>
    </w:p>
    <w:p w:rsidR="00D366F4" w:rsidRDefault="008D7F00">
      <w:pPr>
        <w:spacing w:line="440" w:lineRule="exact"/>
        <w:ind w:firstLineChars="100" w:firstLine="240"/>
        <w:rPr>
          <w:rFonts w:ascii="仿宋" w:eastAsia="仿宋" w:hAnsi="仿宋"/>
          <w:sz w:val="24"/>
          <w:szCs w:val="24"/>
        </w:rPr>
      </w:pPr>
      <w:r>
        <w:rPr>
          <w:rFonts w:ascii="仿宋" w:eastAsia="仿宋" w:hAnsi="仿宋" w:hint="eastAsia"/>
          <w:sz w:val="24"/>
          <w:szCs w:val="24"/>
        </w:rPr>
        <w:t>注2.凡是</w:t>
      </w:r>
      <w:r>
        <w:rPr>
          <w:rFonts w:ascii="仿宋" w:eastAsia="仿宋" w:hAnsi="仿宋"/>
          <w:sz w:val="24"/>
          <w:szCs w:val="24"/>
        </w:rPr>
        <w:t>有不符合条款</w:t>
      </w:r>
      <w:r>
        <w:rPr>
          <w:rFonts w:ascii="仿宋" w:eastAsia="仿宋" w:hAnsi="仿宋" w:hint="eastAsia"/>
          <w:sz w:val="24"/>
          <w:szCs w:val="24"/>
        </w:rPr>
        <w:t>而</w:t>
      </w:r>
      <w:r>
        <w:rPr>
          <w:rFonts w:ascii="仿宋" w:eastAsia="仿宋" w:hAnsi="仿宋"/>
          <w:sz w:val="24"/>
          <w:szCs w:val="24"/>
        </w:rPr>
        <w:t>结果为</w:t>
      </w:r>
      <w:r>
        <w:rPr>
          <w:rFonts w:ascii="仿宋" w:eastAsia="仿宋" w:hAnsi="仿宋" w:hint="eastAsia"/>
          <w:sz w:val="24"/>
          <w:szCs w:val="24"/>
        </w:rPr>
        <w:t>A级（通过）者</w:t>
      </w:r>
      <w:r>
        <w:rPr>
          <w:rFonts w:ascii="仿宋" w:eastAsia="仿宋" w:hAnsi="仿宋"/>
          <w:sz w:val="24"/>
          <w:szCs w:val="24"/>
        </w:rPr>
        <w:t>，</w:t>
      </w:r>
      <w:r>
        <w:rPr>
          <w:rFonts w:ascii="仿宋" w:eastAsia="仿宋" w:hAnsi="仿宋" w:hint="eastAsia"/>
          <w:sz w:val="24"/>
          <w:szCs w:val="24"/>
        </w:rPr>
        <w:t>仍需按</w:t>
      </w:r>
      <w:r>
        <w:rPr>
          <w:rFonts w:ascii="仿宋" w:eastAsia="仿宋" w:hAnsi="仿宋"/>
          <w:sz w:val="24"/>
          <w:szCs w:val="24"/>
        </w:rPr>
        <w:t>规则上报《</w:t>
      </w:r>
      <w:r>
        <w:rPr>
          <w:rFonts w:ascii="仿宋" w:eastAsia="仿宋" w:hAnsi="仿宋" w:hint="eastAsia"/>
          <w:sz w:val="24"/>
          <w:szCs w:val="24"/>
        </w:rPr>
        <w:t>整改</w:t>
      </w:r>
      <w:r>
        <w:rPr>
          <w:rFonts w:ascii="仿宋" w:eastAsia="仿宋" w:hAnsi="仿宋"/>
          <w:sz w:val="24"/>
          <w:szCs w:val="24"/>
        </w:rPr>
        <w:t>报告》</w:t>
      </w:r>
      <w:r>
        <w:rPr>
          <w:rFonts w:ascii="仿宋" w:eastAsia="仿宋" w:hAnsi="仿宋" w:hint="eastAsia"/>
          <w:sz w:val="24"/>
          <w:szCs w:val="24"/>
        </w:rPr>
        <w:t>。</w:t>
      </w:r>
    </w:p>
    <w:p w:rsidR="00D366F4" w:rsidRDefault="008D7F00">
      <w:pPr>
        <w:spacing w:line="440" w:lineRule="exact"/>
        <w:ind w:firstLineChars="100" w:firstLine="240"/>
        <w:rPr>
          <w:rFonts w:ascii="仿宋" w:eastAsia="仿宋" w:hAnsi="仿宋"/>
          <w:sz w:val="24"/>
          <w:szCs w:val="24"/>
        </w:rPr>
      </w:pPr>
      <w:r>
        <w:rPr>
          <w:rFonts w:ascii="仿宋" w:eastAsia="仿宋" w:hAnsi="仿宋" w:hint="eastAsia"/>
          <w:sz w:val="24"/>
          <w:szCs w:val="24"/>
        </w:rPr>
        <w:t>注3.对于C级</w:t>
      </w:r>
      <w:r>
        <w:rPr>
          <w:rFonts w:ascii="仿宋" w:eastAsia="仿宋" w:hAnsi="仿宋"/>
          <w:sz w:val="24"/>
          <w:szCs w:val="24"/>
        </w:rPr>
        <w:t>，现场复查可</w:t>
      </w:r>
      <w:r>
        <w:rPr>
          <w:rFonts w:ascii="仿宋" w:eastAsia="仿宋" w:hAnsi="仿宋" w:hint="eastAsia"/>
          <w:sz w:val="24"/>
          <w:szCs w:val="24"/>
        </w:rPr>
        <w:t>由</w:t>
      </w:r>
      <w:r>
        <w:rPr>
          <w:rFonts w:ascii="仿宋" w:eastAsia="仿宋" w:hAnsi="仿宋"/>
          <w:sz w:val="24"/>
          <w:szCs w:val="24"/>
        </w:rPr>
        <w:t>组长或委派1名本组</w:t>
      </w:r>
      <w:proofErr w:type="gramStart"/>
      <w:r>
        <w:rPr>
          <w:rFonts w:ascii="仿宋" w:eastAsia="仿宋" w:hAnsi="仿宋"/>
          <w:sz w:val="24"/>
          <w:szCs w:val="24"/>
        </w:rPr>
        <w:t>成员</w:t>
      </w:r>
      <w:r>
        <w:rPr>
          <w:rFonts w:ascii="仿宋" w:eastAsia="仿宋" w:hAnsi="仿宋" w:hint="eastAsia"/>
          <w:sz w:val="24"/>
          <w:szCs w:val="24"/>
        </w:rPr>
        <w:t>赴</w:t>
      </w:r>
      <w:r>
        <w:rPr>
          <w:rFonts w:ascii="仿宋" w:eastAsia="仿宋" w:hAnsi="仿宋"/>
          <w:sz w:val="24"/>
          <w:szCs w:val="24"/>
        </w:rPr>
        <w:t>被检查</w:t>
      </w:r>
      <w:proofErr w:type="gramEnd"/>
      <w:r>
        <w:rPr>
          <w:rFonts w:ascii="仿宋" w:eastAsia="仿宋" w:hAnsi="仿宋"/>
          <w:sz w:val="24"/>
          <w:szCs w:val="24"/>
        </w:rPr>
        <w:t>高校完成。</w:t>
      </w:r>
    </w:p>
    <w:p w:rsidR="00D366F4" w:rsidRDefault="008D7F00">
      <w:pPr>
        <w:spacing w:line="440" w:lineRule="exact"/>
        <w:ind w:firstLineChars="100" w:firstLine="240"/>
        <w:rPr>
          <w:rFonts w:ascii="仿宋" w:eastAsia="仿宋" w:hAnsi="仿宋"/>
          <w:sz w:val="24"/>
          <w:szCs w:val="24"/>
        </w:rPr>
      </w:pPr>
      <w:r>
        <w:rPr>
          <w:rFonts w:ascii="仿宋" w:eastAsia="仿宋" w:hAnsi="仿宋" w:hint="eastAsia"/>
          <w:sz w:val="24"/>
          <w:szCs w:val="24"/>
        </w:rPr>
        <w:t>注4.检查</w:t>
      </w:r>
      <w:r>
        <w:rPr>
          <w:rFonts w:ascii="仿宋" w:eastAsia="仿宋" w:hAnsi="仿宋"/>
          <w:sz w:val="24"/>
          <w:szCs w:val="24"/>
        </w:rPr>
        <w:t>结果将予以通报。</w:t>
      </w:r>
      <w:r>
        <w:rPr>
          <w:rFonts w:ascii="仿宋" w:eastAsia="仿宋" w:hAnsi="仿宋" w:hint="eastAsia"/>
          <w:sz w:val="24"/>
          <w:szCs w:val="24"/>
        </w:rPr>
        <w:t>对于D级</w:t>
      </w:r>
      <w:r>
        <w:rPr>
          <w:rFonts w:ascii="仿宋" w:eastAsia="仿宋" w:hAnsi="仿宋"/>
          <w:sz w:val="24"/>
          <w:szCs w:val="24"/>
        </w:rPr>
        <w:t>，</w:t>
      </w:r>
      <w:r>
        <w:rPr>
          <w:rFonts w:ascii="仿宋" w:eastAsia="仿宋" w:hAnsi="仿宋" w:hint="eastAsia"/>
          <w:sz w:val="24"/>
          <w:szCs w:val="24"/>
        </w:rPr>
        <w:t>限期2个月</w:t>
      </w:r>
      <w:r>
        <w:rPr>
          <w:rFonts w:ascii="仿宋" w:eastAsia="仿宋" w:hAnsi="仿宋"/>
          <w:sz w:val="24"/>
          <w:szCs w:val="24"/>
        </w:rPr>
        <w:t>整改，检查组再次进校。</w:t>
      </w:r>
    </w:p>
    <w:p w:rsidR="00D366F4" w:rsidRDefault="008D7F00">
      <w:pPr>
        <w:spacing w:line="440" w:lineRule="exact"/>
        <w:ind w:firstLineChars="100" w:firstLine="240"/>
        <w:rPr>
          <w:rFonts w:ascii="仿宋" w:eastAsia="仿宋" w:hAnsi="仿宋"/>
          <w:sz w:val="28"/>
          <w:szCs w:val="24"/>
        </w:rPr>
      </w:pPr>
      <w:r>
        <w:rPr>
          <w:rFonts w:ascii="仿宋" w:eastAsia="仿宋" w:hAnsi="仿宋" w:hint="eastAsia"/>
          <w:sz w:val="24"/>
          <w:szCs w:val="24"/>
        </w:rPr>
        <w:t xml:space="preserve">  </w:t>
      </w:r>
    </w:p>
    <w:p w:rsidR="00D366F4" w:rsidRDefault="00D366F4">
      <w:pPr>
        <w:spacing w:line="500" w:lineRule="exact"/>
        <w:ind w:firstLineChars="200" w:firstLine="560"/>
        <w:rPr>
          <w:rFonts w:ascii="仿宋" w:eastAsia="仿宋" w:hAnsi="仿宋"/>
          <w:sz w:val="28"/>
          <w:szCs w:val="24"/>
        </w:rPr>
      </w:pPr>
    </w:p>
    <w:p w:rsidR="00D366F4" w:rsidRDefault="00D366F4"/>
    <w:sectPr w:rsidR="00D366F4" w:rsidSect="00D366F4">
      <w:pgSz w:w="11906" w:h="16838"/>
      <w:pgMar w:top="1440" w:right="1474"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D11" w:rsidRDefault="00B25D11" w:rsidP="008D7F00">
      <w:r>
        <w:separator/>
      </w:r>
    </w:p>
  </w:endnote>
  <w:endnote w:type="continuationSeparator" w:id="0">
    <w:p w:rsidR="00B25D11" w:rsidRDefault="00B25D11" w:rsidP="008D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D11" w:rsidRDefault="00B25D11" w:rsidP="008D7F00">
      <w:r>
        <w:separator/>
      </w:r>
    </w:p>
  </w:footnote>
  <w:footnote w:type="continuationSeparator" w:id="0">
    <w:p w:rsidR="00B25D11" w:rsidRDefault="00B25D11" w:rsidP="008D7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36E15"/>
    <w:multiLevelType w:val="multilevel"/>
    <w:tmpl w:val="20336E15"/>
    <w:lvl w:ilvl="0">
      <w:start w:val="2018"/>
      <w:numFmt w:val="bullet"/>
      <w:lvlText w:val=""/>
      <w:lvlJc w:val="left"/>
      <w:pPr>
        <w:ind w:left="360" w:hanging="360"/>
      </w:pPr>
      <w:rPr>
        <w:rFonts w:ascii="Wingdings" w:eastAsia="仿宋"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D4B04EC"/>
    <w:rsid w:val="001C0AD2"/>
    <w:rsid w:val="00534AE4"/>
    <w:rsid w:val="007B5828"/>
    <w:rsid w:val="00836C39"/>
    <w:rsid w:val="00891EF5"/>
    <w:rsid w:val="008D7F00"/>
    <w:rsid w:val="00A553D0"/>
    <w:rsid w:val="00AB141C"/>
    <w:rsid w:val="00B25D11"/>
    <w:rsid w:val="00C2483C"/>
    <w:rsid w:val="00D366F4"/>
    <w:rsid w:val="00F81EE8"/>
    <w:rsid w:val="341F3936"/>
    <w:rsid w:val="3D4B04EC"/>
    <w:rsid w:val="40D23685"/>
    <w:rsid w:val="41EC1205"/>
    <w:rsid w:val="551B5D39"/>
    <w:rsid w:val="6D535020"/>
    <w:rsid w:val="725171D8"/>
    <w:rsid w:val="7991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A7C08"/>
  <w15:docId w15:val="{CF3C2E46-3D56-42C3-BE69-BF8B06D5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366F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366F4"/>
    <w:pPr>
      <w:tabs>
        <w:tab w:val="center" w:pos="4153"/>
        <w:tab w:val="right" w:pos="8306"/>
      </w:tabs>
      <w:snapToGrid w:val="0"/>
      <w:jc w:val="left"/>
    </w:pPr>
    <w:rPr>
      <w:sz w:val="18"/>
      <w:szCs w:val="18"/>
    </w:rPr>
  </w:style>
  <w:style w:type="paragraph" w:styleId="a5">
    <w:name w:val="header"/>
    <w:basedOn w:val="a"/>
    <w:link w:val="a6"/>
    <w:qFormat/>
    <w:rsid w:val="00D366F4"/>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D36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sid w:val="00D366F4"/>
    <w:rPr>
      <w:rFonts w:asciiTheme="minorHAnsi" w:eastAsiaTheme="minorEastAsia" w:hAnsiTheme="minorHAnsi" w:cstheme="minorBidi"/>
      <w:kern w:val="2"/>
      <w:sz w:val="18"/>
      <w:szCs w:val="18"/>
    </w:rPr>
  </w:style>
  <w:style w:type="character" w:customStyle="1" w:styleId="a4">
    <w:name w:val="页脚 字符"/>
    <w:basedOn w:val="a0"/>
    <w:link w:val="a3"/>
    <w:rsid w:val="00D366F4"/>
    <w:rPr>
      <w:rFonts w:asciiTheme="minorHAnsi" w:eastAsiaTheme="minorEastAsia" w:hAnsiTheme="minorHAnsi" w:cstheme="minorBidi"/>
      <w:kern w:val="2"/>
      <w:sz w:val="18"/>
      <w:szCs w:val="18"/>
    </w:rPr>
  </w:style>
  <w:style w:type="paragraph" w:styleId="a8">
    <w:name w:val="Balloon Text"/>
    <w:basedOn w:val="a"/>
    <w:link w:val="a9"/>
    <w:rsid w:val="007B5828"/>
    <w:rPr>
      <w:sz w:val="18"/>
      <w:szCs w:val="18"/>
    </w:rPr>
  </w:style>
  <w:style w:type="character" w:customStyle="1" w:styleId="a9">
    <w:name w:val="批注框文本 字符"/>
    <w:basedOn w:val="a0"/>
    <w:link w:val="a8"/>
    <w:rsid w:val="007B582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8</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zssom</cp:lastModifiedBy>
  <cp:revision>3</cp:revision>
  <cp:lastPrinted>2018-09-11T06:26:00Z</cp:lastPrinted>
  <dcterms:created xsi:type="dcterms:W3CDTF">2018-09-12T10:25:00Z</dcterms:created>
  <dcterms:modified xsi:type="dcterms:W3CDTF">2018-09-17T05:25:00Z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2052-11.1.0.7693</vt:lpwstr>
  </property>
</Properties>
</file>