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B9" w:rsidRPr="006450CC" w:rsidRDefault="00D816B9" w:rsidP="00D816B9">
      <w:pPr>
        <w:widowControl/>
        <w:spacing w:line="420" w:lineRule="atLeast"/>
        <w:jc w:val="center"/>
        <w:rPr>
          <w:rFonts w:ascii="Arial" w:eastAsia="宋体" w:hAnsi="Arial" w:cs="Arial"/>
          <w:kern w:val="0"/>
          <w:sz w:val="44"/>
          <w:szCs w:val="44"/>
        </w:rPr>
      </w:pPr>
      <w:r w:rsidRPr="006450CC">
        <w:rPr>
          <w:rFonts w:ascii="Arial" w:eastAsia="宋体" w:hAnsi="Arial" w:cs="Arial"/>
          <w:b/>
          <w:bCs/>
          <w:kern w:val="0"/>
          <w:sz w:val="44"/>
          <w:szCs w:val="44"/>
        </w:rPr>
        <w:t>广东省科学技术厅关于鼓励支持我省专家积极参与国家科技咨询工作的通知</w:t>
      </w:r>
    </w:p>
    <w:p w:rsidR="00D816B9" w:rsidRPr="00D816B9" w:rsidRDefault="00D816B9" w:rsidP="00D816B9">
      <w:pPr>
        <w:widowControl/>
        <w:spacing w:line="330" w:lineRule="atLeast"/>
        <w:jc w:val="center"/>
        <w:rPr>
          <w:rFonts w:ascii="Arial" w:eastAsia="宋体" w:hAnsi="Arial" w:cs="Arial"/>
          <w:kern w:val="0"/>
          <w:szCs w:val="21"/>
        </w:rPr>
      </w:pPr>
      <w:r w:rsidRPr="00D816B9">
        <w:rPr>
          <w:rFonts w:ascii="Arial" w:eastAsia="宋体" w:hAnsi="Arial" w:cs="Arial"/>
          <w:kern w:val="0"/>
          <w:sz w:val="18"/>
          <w:szCs w:val="18"/>
        </w:rPr>
        <w:t>来源：广东省科技厅规划财务处（科技重大专项办公室）发布日期：</w:t>
      </w:r>
      <w:r w:rsidRPr="00D816B9">
        <w:rPr>
          <w:rFonts w:ascii="Arial" w:eastAsia="宋体" w:hAnsi="Arial" w:cs="Arial"/>
          <w:kern w:val="0"/>
          <w:sz w:val="18"/>
          <w:szCs w:val="18"/>
        </w:rPr>
        <w:t xml:space="preserve"> 2018-10-17 </w:t>
      </w:r>
    </w:p>
    <w:tbl>
      <w:tblPr>
        <w:tblW w:w="5000" w:type="pct"/>
        <w:jc w:val="center"/>
        <w:tblCellSpacing w:w="0" w:type="dxa"/>
        <w:tblCellMar>
          <w:left w:w="0" w:type="dxa"/>
          <w:right w:w="0" w:type="dxa"/>
        </w:tblCellMar>
        <w:tblLook w:val="04A0"/>
      </w:tblPr>
      <w:tblGrid>
        <w:gridCol w:w="6811"/>
        <w:gridCol w:w="1495"/>
      </w:tblGrid>
      <w:tr w:rsidR="00D816B9" w:rsidRPr="00D816B9" w:rsidTr="00D816B9">
        <w:trPr>
          <w:trHeight w:val="480"/>
          <w:tblCellSpacing w:w="0" w:type="dxa"/>
          <w:jc w:val="center"/>
        </w:trPr>
        <w:tc>
          <w:tcPr>
            <w:tcW w:w="4100" w:type="pct"/>
            <w:vAlign w:val="center"/>
            <w:hideMark/>
          </w:tcPr>
          <w:p w:rsidR="00D816B9" w:rsidRPr="00D816B9" w:rsidRDefault="00D816B9" w:rsidP="00D816B9">
            <w:pPr>
              <w:widowControl/>
              <w:spacing w:line="330" w:lineRule="atLeast"/>
              <w:jc w:val="left"/>
              <w:rPr>
                <w:rFonts w:ascii="Arial" w:eastAsia="宋体" w:hAnsi="Arial" w:cs="Arial"/>
                <w:kern w:val="0"/>
                <w:szCs w:val="21"/>
              </w:rPr>
            </w:pPr>
          </w:p>
        </w:tc>
        <w:tc>
          <w:tcPr>
            <w:tcW w:w="900" w:type="pct"/>
            <w:vAlign w:val="center"/>
            <w:hideMark/>
          </w:tcPr>
          <w:p w:rsidR="00D816B9" w:rsidRPr="00D816B9" w:rsidRDefault="00D816B9" w:rsidP="00D816B9">
            <w:pPr>
              <w:widowControl/>
              <w:spacing w:line="330" w:lineRule="atLeast"/>
              <w:jc w:val="right"/>
              <w:rPr>
                <w:rFonts w:ascii="Arial" w:eastAsia="宋体" w:hAnsi="Arial" w:cs="Arial"/>
                <w:kern w:val="0"/>
                <w:szCs w:val="21"/>
              </w:rPr>
            </w:pPr>
          </w:p>
        </w:tc>
      </w:tr>
      <w:tr w:rsidR="00D816B9" w:rsidRPr="00D816B9" w:rsidTr="00D816B9">
        <w:trPr>
          <w:trHeight w:val="15"/>
          <w:tblCellSpacing w:w="0" w:type="dxa"/>
          <w:jc w:val="center"/>
        </w:trPr>
        <w:tc>
          <w:tcPr>
            <w:tcW w:w="0" w:type="auto"/>
            <w:gridSpan w:val="2"/>
            <w:shd w:val="clear" w:color="auto" w:fill="CCCCCC"/>
            <w:vAlign w:val="center"/>
            <w:hideMark/>
          </w:tcPr>
          <w:p w:rsidR="00D816B9" w:rsidRPr="00D816B9" w:rsidRDefault="00D816B9" w:rsidP="00D816B9">
            <w:pPr>
              <w:widowControl/>
              <w:spacing w:line="330" w:lineRule="atLeast"/>
              <w:jc w:val="left"/>
              <w:rPr>
                <w:rFonts w:ascii="Arial" w:eastAsia="宋体" w:hAnsi="Arial" w:cs="Arial"/>
                <w:kern w:val="0"/>
                <w:sz w:val="2"/>
                <w:szCs w:val="21"/>
              </w:rPr>
            </w:pPr>
          </w:p>
        </w:tc>
      </w:tr>
      <w:tr w:rsidR="00D816B9" w:rsidRPr="00D816B9" w:rsidTr="00D816B9">
        <w:trPr>
          <w:tblCellSpacing w:w="0" w:type="dxa"/>
          <w:jc w:val="center"/>
        </w:trPr>
        <w:tc>
          <w:tcPr>
            <w:tcW w:w="0" w:type="auto"/>
            <w:gridSpan w:val="2"/>
            <w:vAlign w:val="center"/>
            <w:hideMark/>
          </w:tcPr>
          <w:p w:rsidR="00D816B9" w:rsidRPr="00D816B9" w:rsidRDefault="00D816B9" w:rsidP="00D816B9">
            <w:pPr>
              <w:widowControl/>
              <w:spacing w:line="330" w:lineRule="atLeast"/>
              <w:jc w:val="left"/>
              <w:rPr>
                <w:rFonts w:ascii="Arial" w:eastAsia="宋体" w:hAnsi="Arial" w:cs="Arial"/>
                <w:kern w:val="0"/>
                <w:szCs w:val="21"/>
              </w:rPr>
            </w:pPr>
          </w:p>
        </w:tc>
      </w:tr>
    </w:tbl>
    <w:p w:rsidR="00D816B9" w:rsidRPr="00D816B9" w:rsidRDefault="00D816B9" w:rsidP="00D816B9">
      <w:pPr>
        <w:widowControl/>
        <w:spacing w:before="100" w:beforeAutospacing="1" w:after="100" w:afterAutospacing="1" w:line="330" w:lineRule="atLeast"/>
        <w:jc w:val="right"/>
        <w:rPr>
          <w:rFonts w:ascii="Arial" w:eastAsia="宋体" w:hAnsi="Arial" w:cs="Arial"/>
          <w:kern w:val="0"/>
          <w:szCs w:val="21"/>
        </w:rPr>
      </w:pPr>
      <w:r w:rsidRPr="00D816B9">
        <w:rPr>
          <w:rFonts w:ascii="Arial" w:eastAsia="宋体" w:hAnsi="Arial" w:cs="Arial"/>
          <w:kern w:val="0"/>
          <w:szCs w:val="21"/>
        </w:rPr>
        <w:t>粤科函规财字〔</w:t>
      </w:r>
      <w:r w:rsidRPr="00D816B9">
        <w:rPr>
          <w:rFonts w:ascii="Arial" w:eastAsia="宋体" w:hAnsi="Arial" w:cs="Arial"/>
          <w:kern w:val="0"/>
          <w:szCs w:val="21"/>
        </w:rPr>
        <w:t>2018</w:t>
      </w:r>
      <w:r w:rsidRPr="00D816B9">
        <w:rPr>
          <w:rFonts w:ascii="Arial" w:eastAsia="宋体" w:hAnsi="Arial" w:cs="Arial"/>
          <w:kern w:val="0"/>
          <w:szCs w:val="21"/>
        </w:rPr>
        <w:t>〕</w:t>
      </w:r>
      <w:r w:rsidRPr="00D816B9">
        <w:rPr>
          <w:rFonts w:ascii="Arial" w:eastAsia="宋体" w:hAnsi="Arial" w:cs="Arial"/>
          <w:kern w:val="0"/>
          <w:szCs w:val="21"/>
        </w:rPr>
        <w:t>2145</w:t>
      </w:r>
      <w:r w:rsidRPr="00D816B9">
        <w:rPr>
          <w:rFonts w:ascii="Arial" w:eastAsia="宋体" w:hAnsi="Arial" w:cs="Arial"/>
          <w:kern w:val="0"/>
          <w:szCs w:val="21"/>
        </w:rPr>
        <w:t>号</w:t>
      </w:r>
    </w:p>
    <w:p w:rsidR="00D816B9" w:rsidRPr="006450CC" w:rsidRDefault="00D816B9" w:rsidP="006450CC">
      <w:pPr>
        <w:widowControl/>
        <w:spacing w:line="500" w:lineRule="exact"/>
        <w:jc w:val="left"/>
        <w:rPr>
          <w:rFonts w:ascii="仿宋" w:eastAsia="仿宋" w:hAnsi="仿宋" w:cs="Arial"/>
          <w:kern w:val="0"/>
          <w:sz w:val="32"/>
          <w:szCs w:val="32"/>
        </w:rPr>
      </w:pPr>
      <w:r w:rsidRPr="006450CC">
        <w:rPr>
          <w:rFonts w:ascii="仿宋" w:eastAsia="仿宋" w:hAnsi="仿宋" w:cs="Arial"/>
          <w:kern w:val="0"/>
          <w:sz w:val="32"/>
          <w:szCs w:val="32"/>
        </w:rPr>
        <w:t>各有关单位：</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为鼓励支持我省高水平专家积极参与国家层面的重大科技咨询工作，为国家科技决策和管理贡献广东智慧，现就支持广东专家参与国家科技咨询工作的有关措施通知如下：</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一、广东省科技专家参与国家科技咨询工作是广东的使命与责任</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多年来，广东高水平专家积极参与国家层面的各类科技咨询工作，在服务于国家科技规划编制、科研项目组织实施、重大项目评估评价、国家科技奖励评审等工作中发挥了重要作用。在创新驱动和高质量发展的新形势下，为进一步落实习近平总书记对广东“四个走在全国前列”的要求，充分发挥广东支撑全国实施创新驱动发展战略中的作用，广东高水平专家需要更加专注于科技创新工作，更加重视掌握相关领域前沿科技发展态势，并更加积极的参与国家层面的重大科技咨询工作。</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二、支持范围</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本通知所指支持广东科技专家参与国家层面的各类科技咨询工作，主要包括：</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（一）参与国家、区域科技创新发展战略研究、规划编制、有关领域研发计划制定等；</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lastRenderedPageBreak/>
        <w:t>（二）参与国家重大科技项目指南编制、研发任务建议、实施方案论证、项目课题评审、验收评估和检查等；</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（三）科技管理工作咨询、专项调查研究等；</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（四）科技奖励评审；</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（五）其他重要咨询、评审及工作支撑工作等。</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三、支持方式</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（一）各级科技主管部门、企事业单位应大力支持我省科技专家参与国家科技咨询服务工作，在时间安排、工作调整、条件保障等方面予以充分支持。</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二）广东专家参与国家科技咨询工作，邀请部门（单位）或专家所在单位无法报销差旅费用的，可申请由省科技厅将予以资助。专家可填报《参与国家科技咨询差旅费用及工作经费申请表》（附件）向我厅申领。</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三）广东专家在承接或参与国家重大科技咨询工作中，需开展调研、资料准备等工作，形成的相关合理费用支出在本单位无法解决或存在经费缺口的，可根据实际咨询工作中产生的工作经费与支出情况，填报《参与国家科技咨询差旅费用及工作经费申请表》（附件），书面报我厅申请工作经费补贴。</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（四）由我厅提供的专家咨询差旅费用及补助与专家咨询工作经费补贴，经核实后，将核定结果书面反馈给专家及所在单位，经费直接发放至专家个人银行账户。</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（五）为节约时间、提高报销效率，请申请支持的科技专家在每月前5个工作日集中提交相关申请材料。</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（六）联系地址：广州市连新路171号省科技信息大楼1楼广东省科技厅综合业务办理大厅（邮编：510033）</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t>联系电话：020-83163930</w:t>
      </w:r>
    </w:p>
    <w:p w:rsidR="00D816B9" w:rsidRPr="006450CC" w:rsidRDefault="00D816B9" w:rsidP="006450CC">
      <w:pPr>
        <w:widowControl/>
        <w:spacing w:line="500" w:lineRule="exact"/>
        <w:ind w:firstLineChars="200" w:firstLine="640"/>
        <w:jc w:val="left"/>
        <w:rPr>
          <w:rFonts w:ascii="仿宋" w:eastAsia="仿宋" w:hAnsi="仿宋" w:cs="Arial"/>
          <w:kern w:val="0"/>
          <w:sz w:val="32"/>
          <w:szCs w:val="32"/>
        </w:rPr>
      </w:pPr>
      <w:r w:rsidRPr="006450CC">
        <w:rPr>
          <w:rFonts w:ascii="仿宋" w:eastAsia="仿宋" w:hAnsi="仿宋" w:cs="Arial"/>
          <w:kern w:val="0"/>
          <w:sz w:val="32"/>
          <w:szCs w:val="32"/>
        </w:rPr>
        <w:lastRenderedPageBreak/>
        <w:t>（七）本通知自2018年10月16日起执行，试行至2019年12月31日，届时将根据实施情况进行适当调整。</w:t>
      </w:r>
    </w:p>
    <w:p w:rsidR="006450CC" w:rsidRDefault="006450CC" w:rsidP="006450CC">
      <w:pPr>
        <w:widowControl/>
        <w:spacing w:line="500" w:lineRule="exact"/>
        <w:ind w:firstLineChars="200" w:firstLine="640"/>
        <w:jc w:val="left"/>
        <w:rPr>
          <w:rFonts w:ascii="仿宋" w:eastAsia="仿宋" w:hAnsi="仿宋" w:cs="Arial" w:hint="eastAsia"/>
          <w:kern w:val="0"/>
          <w:sz w:val="32"/>
          <w:szCs w:val="32"/>
        </w:rPr>
      </w:pPr>
    </w:p>
    <w:p w:rsidR="00D816B9" w:rsidRDefault="00D816B9" w:rsidP="006450CC">
      <w:pPr>
        <w:widowControl/>
        <w:spacing w:line="500" w:lineRule="exact"/>
        <w:ind w:firstLineChars="200" w:firstLine="640"/>
        <w:jc w:val="left"/>
        <w:rPr>
          <w:rFonts w:ascii="仿宋" w:eastAsia="仿宋" w:hAnsi="仿宋" w:hint="eastAsia"/>
          <w:sz w:val="32"/>
          <w:szCs w:val="32"/>
        </w:rPr>
      </w:pPr>
      <w:r w:rsidRPr="006450CC">
        <w:rPr>
          <w:rFonts w:ascii="仿宋" w:eastAsia="仿宋" w:hAnsi="仿宋" w:cs="Arial"/>
          <w:kern w:val="0"/>
          <w:sz w:val="32"/>
          <w:szCs w:val="32"/>
        </w:rPr>
        <w:t>附件：</w:t>
      </w:r>
      <w:hyperlink r:id="rId6" w:history="1">
        <w:r w:rsidRPr="006450CC">
          <w:rPr>
            <w:rFonts w:ascii="仿宋" w:eastAsia="仿宋" w:hAnsi="仿宋" w:cs="Arial"/>
            <w:color w:val="007DA3"/>
            <w:kern w:val="0"/>
            <w:sz w:val="32"/>
            <w:szCs w:val="32"/>
            <w:u w:val="single"/>
          </w:rPr>
          <w:t>参与国家科技咨询差旅费用及工作经费申请表</w:t>
        </w:r>
      </w:hyperlink>
    </w:p>
    <w:p w:rsidR="006450CC" w:rsidRDefault="006450CC" w:rsidP="006450CC">
      <w:pPr>
        <w:widowControl/>
        <w:spacing w:line="500" w:lineRule="exact"/>
        <w:ind w:firstLineChars="200" w:firstLine="640"/>
        <w:jc w:val="left"/>
        <w:rPr>
          <w:rFonts w:ascii="仿宋" w:eastAsia="仿宋" w:hAnsi="仿宋" w:hint="eastAsia"/>
          <w:sz w:val="32"/>
          <w:szCs w:val="32"/>
        </w:rPr>
      </w:pPr>
    </w:p>
    <w:p w:rsidR="006450CC" w:rsidRDefault="006450CC" w:rsidP="006450CC">
      <w:pPr>
        <w:widowControl/>
        <w:spacing w:line="500" w:lineRule="exact"/>
        <w:ind w:firstLineChars="200" w:firstLine="640"/>
        <w:jc w:val="left"/>
        <w:rPr>
          <w:rFonts w:ascii="仿宋" w:eastAsia="仿宋" w:hAnsi="仿宋" w:hint="eastAsia"/>
          <w:sz w:val="32"/>
          <w:szCs w:val="32"/>
        </w:rPr>
      </w:pPr>
    </w:p>
    <w:p w:rsidR="006450CC" w:rsidRDefault="006450CC" w:rsidP="006450CC">
      <w:pPr>
        <w:widowControl/>
        <w:spacing w:line="500" w:lineRule="exact"/>
        <w:ind w:firstLineChars="200" w:firstLine="640"/>
        <w:jc w:val="left"/>
        <w:rPr>
          <w:rFonts w:ascii="仿宋" w:eastAsia="仿宋" w:hAnsi="仿宋" w:hint="eastAsia"/>
          <w:sz w:val="32"/>
          <w:szCs w:val="32"/>
        </w:rPr>
      </w:pPr>
    </w:p>
    <w:p w:rsidR="006450CC" w:rsidRPr="006450CC" w:rsidRDefault="006450CC" w:rsidP="006450CC">
      <w:pPr>
        <w:widowControl/>
        <w:spacing w:line="500" w:lineRule="exact"/>
        <w:ind w:firstLineChars="200" w:firstLine="640"/>
        <w:jc w:val="left"/>
        <w:rPr>
          <w:rFonts w:ascii="仿宋" w:eastAsia="仿宋" w:hAnsi="仿宋" w:cs="Arial"/>
          <w:kern w:val="0"/>
          <w:sz w:val="32"/>
          <w:szCs w:val="32"/>
        </w:rPr>
      </w:pPr>
    </w:p>
    <w:p w:rsidR="00D816B9" w:rsidRPr="006450CC" w:rsidRDefault="00D816B9" w:rsidP="006450CC">
      <w:pPr>
        <w:widowControl/>
        <w:wordWrap w:val="0"/>
        <w:spacing w:line="500" w:lineRule="exact"/>
        <w:ind w:firstLineChars="200" w:firstLine="640"/>
        <w:jc w:val="right"/>
        <w:rPr>
          <w:rFonts w:ascii="仿宋" w:eastAsia="仿宋" w:hAnsi="仿宋" w:cs="Arial"/>
          <w:kern w:val="0"/>
          <w:sz w:val="32"/>
          <w:szCs w:val="32"/>
        </w:rPr>
      </w:pPr>
      <w:r w:rsidRPr="006450CC">
        <w:rPr>
          <w:rFonts w:ascii="仿宋" w:eastAsia="仿宋" w:hAnsi="仿宋" w:cs="Arial"/>
          <w:kern w:val="0"/>
          <w:sz w:val="32"/>
          <w:szCs w:val="32"/>
        </w:rPr>
        <w:t xml:space="preserve">　　</w:t>
      </w:r>
      <w:r w:rsidR="006450CC">
        <w:rPr>
          <w:rFonts w:ascii="仿宋" w:eastAsia="仿宋" w:hAnsi="仿宋" w:cs="Arial" w:hint="eastAsia"/>
          <w:kern w:val="0"/>
          <w:sz w:val="32"/>
          <w:szCs w:val="32"/>
        </w:rPr>
        <w:t xml:space="preserve">  </w:t>
      </w:r>
      <w:r w:rsidRPr="006450CC">
        <w:rPr>
          <w:rFonts w:ascii="仿宋" w:eastAsia="仿宋" w:hAnsi="仿宋" w:cs="Arial"/>
          <w:kern w:val="0"/>
          <w:sz w:val="32"/>
          <w:szCs w:val="32"/>
        </w:rPr>
        <w:t>省科技厅</w:t>
      </w:r>
      <w:r w:rsidR="006450CC">
        <w:rPr>
          <w:rFonts w:ascii="仿宋" w:eastAsia="仿宋" w:hAnsi="仿宋" w:cs="Arial" w:hint="eastAsia"/>
          <w:kern w:val="0"/>
          <w:sz w:val="32"/>
          <w:szCs w:val="32"/>
        </w:rPr>
        <w:t xml:space="preserve">     </w:t>
      </w:r>
    </w:p>
    <w:p w:rsidR="00C67221" w:rsidRDefault="00D816B9" w:rsidP="006450CC">
      <w:pPr>
        <w:widowControl/>
        <w:spacing w:line="500" w:lineRule="exact"/>
        <w:ind w:firstLineChars="200" w:firstLine="640"/>
        <w:jc w:val="right"/>
      </w:pPr>
      <w:r w:rsidRPr="006450CC">
        <w:rPr>
          <w:rFonts w:ascii="仿宋" w:eastAsia="仿宋" w:hAnsi="仿宋" w:cs="Arial"/>
          <w:kern w:val="0"/>
          <w:sz w:val="32"/>
          <w:szCs w:val="32"/>
        </w:rPr>
        <w:t xml:space="preserve">　　2018年10月</w:t>
      </w:r>
      <w:r w:rsidR="006450CC">
        <w:rPr>
          <w:rFonts w:ascii="仿宋" w:eastAsia="仿宋" w:hAnsi="仿宋" w:cs="Arial" w:hint="eastAsia"/>
          <w:kern w:val="0"/>
          <w:sz w:val="32"/>
          <w:szCs w:val="32"/>
        </w:rPr>
        <w:t>2</w:t>
      </w:r>
      <w:r w:rsidRPr="006450CC">
        <w:rPr>
          <w:rFonts w:ascii="仿宋" w:eastAsia="仿宋" w:hAnsi="仿宋" w:cs="Arial"/>
          <w:kern w:val="0"/>
          <w:sz w:val="32"/>
          <w:szCs w:val="32"/>
        </w:rPr>
        <w:t>6日</w:t>
      </w:r>
      <w:bookmarkStart w:id="0" w:name="_GoBack"/>
      <w:bookmarkEnd w:id="0"/>
    </w:p>
    <w:sectPr w:rsidR="00C67221" w:rsidSect="00176E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A25" w:rsidRDefault="005A2A25" w:rsidP="006450CC">
      <w:r>
        <w:separator/>
      </w:r>
    </w:p>
  </w:endnote>
  <w:endnote w:type="continuationSeparator" w:id="1">
    <w:p w:rsidR="005A2A25" w:rsidRDefault="005A2A25" w:rsidP="006450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A25" w:rsidRDefault="005A2A25" w:rsidP="006450CC">
      <w:r>
        <w:separator/>
      </w:r>
    </w:p>
  </w:footnote>
  <w:footnote w:type="continuationSeparator" w:id="1">
    <w:p w:rsidR="005A2A25" w:rsidRDefault="005A2A25" w:rsidP="006450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6B9"/>
    <w:rsid w:val="00176E1F"/>
    <w:rsid w:val="005A2A25"/>
    <w:rsid w:val="006450CC"/>
    <w:rsid w:val="009F0DAA"/>
    <w:rsid w:val="00D816B9"/>
    <w:rsid w:val="00F85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5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50CC"/>
    <w:rPr>
      <w:sz w:val="18"/>
      <w:szCs w:val="18"/>
    </w:rPr>
  </w:style>
  <w:style w:type="paragraph" w:styleId="a4">
    <w:name w:val="footer"/>
    <w:basedOn w:val="a"/>
    <w:link w:val="Char0"/>
    <w:uiPriority w:val="99"/>
    <w:semiHidden/>
    <w:unhideWhenUsed/>
    <w:rsid w:val="006450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50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5996604">
      <w:bodyDiv w:val="1"/>
      <w:marLeft w:val="0"/>
      <w:marRight w:val="0"/>
      <w:marTop w:val="0"/>
      <w:marBottom w:val="0"/>
      <w:divBdr>
        <w:top w:val="none" w:sz="0" w:space="0" w:color="auto"/>
        <w:left w:val="none" w:sz="0" w:space="0" w:color="auto"/>
        <w:bottom w:val="none" w:sz="0" w:space="0" w:color="auto"/>
        <w:right w:val="none" w:sz="0" w:space="0" w:color="auto"/>
      </w:divBdr>
      <w:divsChild>
        <w:div w:id="1193155456">
          <w:marLeft w:val="0"/>
          <w:marRight w:val="0"/>
          <w:marTop w:val="0"/>
          <w:marBottom w:val="0"/>
          <w:divBdr>
            <w:top w:val="none" w:sz="0" w:space="0" w:color="auto"/>
            <w:left w:val="none" w:sz="0" w:space="0" w:color="auto"/>
            <w:bottom w:val="none" w:sz="0" w:space="0" w:color="auto"/>
            <w:right w:val="none" w:sz="0" w:space="0" w:color="auto"/>
          </w:divBdr>
          <w:divsChild>
            <w:div w:id="1031568568">
              <w:marLeft w:val="0"/>
              <w:marRight w:val="0"/>
              <w:marTop w:val="0"/>
              <w:marBottom w:val="0"/>
              <w:divBdr>
                <w:top w:val="none" w:sz="0" w:space="0" w:color="auto"/>
                <w:left w:val="none" w:sz="0" w:space="0" w:color="auto"/>
                <w:bottom w:val="none" w:sz="0" w:space="0" w:color="auto"/>
                <w:right w:val="none" w:sz="0" w:space="0" w:color="auto"/>
              </w:divBdr>
            </w:div>
            <w:div w:id="1065103425">
              <w:marLeft w:val="0"/>
              <w:marRight w:val="0"/>
              <w:marTop w:val="0"/>
              <w:marBottom w:val="0"/>
              <w:divBdr>
                <w:top w:val="none" w:sz="0" w:space="0" w:color="auto"/>
                <w:left w:val="none" w:sz="0" w:space="0" w:color="auto"/>
                <w:bottom w:val="none" w:sz="0" w:space="0" w:color="auto"/>
                <w:right w:val="none" w:sz="0" w:space="0" w:color="auto"/>
              </w:divBdr>
            </w:div>
            <w:div w:id="1075468841">
              <w:marLeft w:val="0"/>
              <w:marRight w:val="0"/>
              <w:marTop w:val="0"/>
              <w:marBottom w:val="0"/>
              <w:divBdr>
                <w:top w:val="none" w:sz="0" w:space="0" w:color="auto"/>
                <w:left w:val="none" w:sz="0" w:space="0" w:color="auto"/>
                <w:bottom w:val="none" w:sz="0" w:space="0" w:color="auto"/>
                <w:right w:val="none" w:sz="0" w:space="0" w:color="auto"/>
              </w:divBdr>
            </w:div>
            <w:div w:id="9978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msg/image_new/wenjian/2018/10/20181017gcc01-01.doc"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194</Words>
  <Characters>1111</Characters>
  <Application>Microsoft Office Word</Application>
  <DocSecurity>0</DocSecurity>
  <Lines>9</Lines>
  <Paragraphs>2</Paragraphs>
  <ScaleCrop>false</ScaleCrop>
  <Company>Microsoft</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2</cp:revision>
  <dcterms:created xsi:type="dcterms:W3CDTF">2018-10-19T00:45:00Z</dcterms:created>
  <dcterms:modified xsi:type="dcterms:W3CDTF">2018-11-08T00:40:00Z</dcterms:modified>
</cp:coreProperties>
</file>