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C1" w:rsidRPr="005C7FC1" w:rsidRDefault="005C7FC1" w:rsidP="005C7FC1">
      <w:pPr>
        <w:widowControl/>
        <w:rPr>
          <w:rFonts w:eastAsia="黑体" w:cs="Times New Roman"/>
          <w:kern w:val="0"/>
          <w:szCs w:val="36"/>
        </w:rPr>
      </w:pPr>
      <w:bookmarkStart w:id="0" w:name="_GoBack"/>
      <w:bookmarkEnd w:id="0"/>
      <w:r w:rsidRPr="005C7FC1">
        <w:rPr>
          <w:rFonts w:eastAsia="黑体" w:cs="Times New Roman"/>
          <w:kern w:val="0"/>
          <w:szCs w:val="36"/>
        </w:rPr>
        <w:t>附件</w:t>
      </w:r>
      <w:r w:rsidRPr="005C7FC1">
        <w:rPr>
          <w:rFonts w:eastAsia="黑体" w:cs="Times New Roman"/>
          <w:kern w:val="0"/>
          <w:szCs w:val="36"/>
        </w:rPr>
        <w:t>1</w:t>
      </w:r>
    </w:p>
    <w:p w:rsidR="00044433" w:rsidRPr="005C7FC1" w:rsidRDefault="00044433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2020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年度实验技术能力专题培训</w:t>
      </w:r>
    </w:p>
    <w:p w:rsidR="00C56391" w:rsidRPr="005C7FC1" w:rsidRDefault="00C5639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RDefault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5046"/>
        <w:gridCol w:w="1361"/>
        <w:gridCol w:w="1304"/>
      </w:tblGrid>
      <w:tr w:rsidR="005C7FC1" w:rsidRPr="005C7FC1" w:rsidTr="005C7FC1"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DB4A5B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="00DB4A5B"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理论培训、操作培训、自由上机及考核，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C7FC1" w:rsidRPr="005C7FC1" w:rsidTr="005C7FC1"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理论培训、上机操作及考核，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个学期内完成。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RDefault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:rsidR="00311C80" w:rsidRPr="005C7FC1" w:rsidRDefault="00C56391" w:rsidP="005C7FC1">
      <w:pPr>
        <w:widowControl/>
        <w:jc w:val="both"/>
        <w:rPr>
          <w:rFonts w:cs="Times New Roman"/>
          <w:sz w:val="28"/>
          <w:szCs w:val="28"/>
        </w:rPr>
      </w:pPr>
      <w:r w:rsidRPr="005C7FC1">
        <w:rPr>
          <w:rFonts w:cs="Times New Roman"/>
          <w:sz w:val="28"/>
          <w:szCs w:val="28"/>
        </w:rPr>
        <w:t>备注：离子色谱和高效液相色谱需同时培训完后方可参加</w:t>
      </w:r>
      <w:r w:rsidRPr="005C7FC1">
        <w:rPr>
          <w:rFonts w:cs="Times New Roman"/>
          <w:sz w:val="28"/>
          <w:szCs w:val="28"/>
        </w:rPr>
        <w:t>NTC</w:t>
      </w:r>
      <w:r w:rsidRPr="005C7FC1">
        <w:rPr>
          <w:rFonts w:cs="Times New Roman"/>
          <w:sz w:val="28"/>
          <w:szCs w:val="28"/>
        </w:rPr>
        <w:t>考核。</w:t>
      </w:r>
    </w:p>
    <w:sectPr w:rsidR="00311C80" w:rsidRPr="005C7FC1" w:rsidSect="005C7FC1">
      <w:pgSz w:w="11906" w:h="16838"/>
      <w:pgMar w:top="2098" w:right="1588" w:bottom="204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AB" w:rsidRDefault="00BD1EAB" w:rsidP="006A35AA">
      <w:pPr>
        <w:spacing w:line="240" w:lineRule="auto"/>
      </w:pPr>
      <w:r>
        <w:separator/>
      </w:r>
    </w:p>
  </w:endnote>
  <w:endnote w:type="continuationSeparator" w:id="0">
    <w:p w:rsidR="00BD1EAB" w:rsidRDefault="00BD1EAB" w:rsidP="006A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AB" w:rsidRDefault="00BD1EAB" w:rsidP="006A35AA">
      <w:pPr>
        <w:spacing w:line="240" w:lineRule="auto"/>
      </w:pPr>
      <w:r>
        <w:separator/>
      </w:r>
    </w:p>
  </w:footnote>
  <w:footnote w:type="continuationSeparator" w:id="0">
    <w:p w:rsidR="00BD1EAB" w:rsidRDefault="00BD1EAB" w:rsidP="006A3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44433"/>
    <w:rsid w:val="00311C80"/>
    <w:rsid w:val="005C7FC1"/>
    <w:rsid w:val="006A35AA"/>
    <w:rsid w:val="009A326E"/>
    <w:rsid w:val="00BD1EAB"/>
    <w:rsid w:val="00C56391"/>
    <w:rsid w:val="00DB4A5B"/>
    <w:rsid w:val="00E309D1"/>
    <w:rsid w:val="00EB4478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35A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2020-05-08T02:56:00Z</dcterms:created>
  <dcterms:modified xsi:type="dcterms:W3CDTF">2020-05-08T02:56:00Z</dcterms:modified>
</cp:coreProperties>
</file>