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tLeast" w:line="560"/>
        <w:jc w:val="center"/>
        <w:rPr>
          <w:rFonts w:ascii="方正小标宋简体" w:cs="方正小标宋简体" w:eastAsia="方正小标宋简体" w:hAnsi="方正小标宋简体"/>
          <w:bCs/>
          <w:color w:val="ff0000"/>
          <w:w w:val="90"/>
          <w:sz w:val="80"/>
          <w:szCs w:val="80"/>
        </w:rPr>
      </w:pPr>
      <w:bookmarkStart w:id="0" w:name="_Hlk492495787"/>
      <w:r>
        <w:rPr>
          <w:rFonts w:ascii="方正小标宋简体" w:cs="方正小标宋简体" w:eastAsia="方正小标宋简体" w:hAnsi="方正小标宋简体" w:hint="eastAsia"/>
          <w:bCs/>
          <w:color w:val="ff0000"/>
          <w:w w:val="90"/>
          <w:sz w:val="80"/>
          <w:szCs w:val="80"/>
        </w:rPr>
        <w:t>共青团中山大学委员会</w:t>
      </w:r>
    </w:p>
    <w:bookmarkEnd w:id="0"/>
    <w:p>
      <w:pPr>
        <w:pStyle w:val="style0"/>
        <w:ind w:firstLine="640" w:firstLineChars="200"/>
        <w:jc w:val="center"/>
        <w:rPr>
          <w:rFonts w:ascii="仿宋_GB2312" w:eastAsia="仿宋_GB2312"/>
          <w:sz w:val="32"/>
          <w:szCs w:val="32"/>
        </w:rPr>
      </w:pPr>
      <w:r>
        <w:rPr>
          <w:rFonts w:ascii="仿宋_GB2312" w:eastAsia="仿宋_GB2312" w:hint="eastAsia"/>
          <w:sz w:val="32"/>
          <w:szCs w:val="32"/>
        </w:rPr>
        <w:t>团发〔202</w:t>
      </w:r>
      <w:r>
        <w:rPr>
          <w:rFonts w:ascii="仿宋_GB2312" w:eastAsia="仿宋_GB2312" w:hint="eastAsia"/>
          <w:sz w:val="32"/>
          <w:szCs w:val="32"/>
          <w:lang w:val="en-US" w:eastAsia="zh-CN"/>
        </w:rPr>
        <w:t>3</w:t>
      </w:r>
      <w:r>
        <w:rPr>
          <w:rFonts w:ascii="仿宋_GB2312" w:eastAsia="仿宋_GB2312" w:hint="eastAsia"/>
          <w:sz w:val="32"/>
          <w:szCs w:val="32"/>
        </w:rPr>
        <w:t>〕</w:t>
      </w:r>
      <w:r>
        <w:rPr>
          <w:rFonts w:ascii="仿宋_GB2312" w:eastAsia="仿宋_GB2312" w:hint="default"/>
          <w:sz w:val="32"/>
          <w:szCs w:val="32"/>
          <w:lang w:val="en-US"/>
        </w:rPr>
        <w:t>1</w:t>
      </w:r>
      <w:r>
        <w:rPr>
          <w:rFonts w:ascii="仿宋_GB2312" w:eastAsia="仿宋_GB2312" w:hint="default"/>
          <w:sz w:val="32"/>
          <w:szCs w:val="32"/>
          <w:lang w:val="en-US"/>
        </w:rPr>
        <w:t>9</w:t>
      </w:r>
      <w:r>
        <w:rPr>
          <w:rFonts w:ascii="仿宋_GB2312" w:eastAsia="仿宋_GB2312" w:hint="eastAsia"/>
          <w:sz w:val="32"/>
          <w:szCs w:val="32"/>
          <w:lang w:val="en-US" w:eastAsia="zh-CN"/>
        </w:rPr>
        <w:t xml:space="preserve"> </w:t>
      </w:r>
      <w:r>
        <w:rPr>
          <w:rFonts w:ascii="仿宋_GB2312" w:eastAsia="仿宋_GB2312" w:hint="eastAsia"/>
          <w:sz w:val="32"/>
          <w:szCs w:val="32"/>
        </w:rPr>
        <w:t>号</w:t>
      </w:r>
    </w:p>
    <w:p>
      <w:pPr>
        <w:pStyle w:val="style0"/>
        <w:adjustRightInd w:val="false"/>
        <w:snapToGrid w:val="false"/>
        <w:spacing w:lineRule="atLeast" w:line="560"/>
        <w:jc w:val="center"/>
        <w:rPr>
          <w:rFonts w:eastAsia="方正小标宋简体"/>
          <w:bCs/>
          <w:sz w:val="32"/>
          <w:szCs w:val="32"/>
        </w:rPr>
      </w:pPr>
      <w:r>
        <w:rPr>
          <w:bCs/>
          <w:sz w:val="28"/>
        </w:rPr>
        <w:drawing>
          <wp:inline distL="0" distT="0" distB="0" distR="0">
            <wp:extent cx="5514975" cy="381000"/>
            <wp:effectExtent l="0" t="0" r="9525" b="0"/>
            <wp:docPr id="1026" name="图片 4" descr="党委横线"/>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图片 4"/>
                    <pic:cNvPicPr/>
                  </pic:nvPicPr>
                  <pic:blipFill>
                    <a:blip r:embed="rId2" cstate="print"/>
                    <a:srcRect l="0" t="0" r="0" b="0"/>
                    <a:stretch/>
                  </pic:blipFill>
                  <pic:spPr>
                    <a:xfrm rot="0">
                      <a:off x="0" y="0"/>
                      <a:ext cx="5514975" cy="381000"/>
                    </a:xfrm>
                    <a:prstGeom prst="rect"/>
                    <a:ln>
                      <a:noFill/>
                    </a:ln>
                  </pic:spPr>
                </pic:pic>
              </a:graphicData>
            </a:graphic>
          </wp:inline>
        </w:drawing>
      </w:r>
    </w:p>
    <w:p>
      <w:pPr>
        <w:pStyle w:val="style1"/>
        <w:widowControl/>
        <w:shd w:val="clear" w:color="auto" w:fill="ffffff"/>
        <w:snapToGrid w:val="false"/>
        <w:spacing w:beforeAutospacing="false" w:afterAutospacing="false"/>
        <w:jc w:val="center"/>
        <w:rPr>
          <w:rFonts w:ascii="方正小标宋简体" w:cs="微软雅黑" w:eastAsia="方正小标宋简体" w:hAnsi="微软雅黑"/>
          <w:b w:val="false"/>
          <w:color w:val="000000"/>
          <w:sz w:val="44"/>
          <w:szCs w:val="44"/>
          <w:shd w:val="clear" w:color="auto" w:fill="ffffff"/>
        </w:rPr>
      </w:pPr>
      <w:r>
        <w:rPr>
          <w:rFonts w:ascii="方正小标宋简体" w:cs="微软雅黑" w:eastAsia="方正小标宋简体" w:hAnsi="微软雅黑"/>
          <w:b w:val="false"/>
          <w:color w:val="000000"/>
          <w:sz w:val="44"/>
          <w:szCs w:val="44"/>
          <w:shd w:val="clear" w:color="auto" w:fill="ffffff"/>
        </w:rPr>
        <w:t>共青团中山大学委员会关于做好第十七届“挑战杯”</w:t>
      </w:r>
      <w:r>
        <w:rPr>
          <w:rFonts w:ascii="方正小标宋简体" w:cs="微软雅黑" w:eastAsia="方正小标宋简体" w:hAnsi="微软雅黑" w:hint="eastAsia"/>
          <w:b w:val="false"/>
          <w:color w:val="000000"/>
          <w:sz w:val="44"/>
          <w:szCs w:val="44"/>
          <w:shd w:val="clear" w:color="auto" w:fill="ffffff"/>
          <w:lang w:val="en-US" w:eastAsia="zh-CN"/>
        </w:rPr>
        <w:t>广东</w:t>
      </w:r>
      <w:r>
        <w:rPr>
          <w:rFonts w:ascii="方正小标宋简体" w:cs="微软雅黑" w:eastAsia="方正小标宋简体" w:hAnsi="微软雅黑"/>
          <w:b w:val="false"/>
          <w:color w:val="000000"/>
          <w:sz w:val="44"/>
          <w:szCs w:val="44"/>
          <w:shd w:val="clear" w:color="auto" w:fill="ffffff"/>
        </w:rPr>
        <w:t>大学生课外学术科技作品</w:t>
      </w:r>
    </w:p>
    <w:p>
      <w:pPr>
        <w:pStyle w:val="style1"/>
        <w:widowControl/>
        <w:shd w:val="clear" w:color="auto" w:fill="ffffff"/>
        <w:snapToGrid w:val="false"/>
        <w:spacing w:beforeAutospacing="false" w:afterAutospacing="false"/>
        <w:jc w:val="center"/>
        <w:rPr>
          <w:rFonts w:ascii="方正小标宋简体" w:cs="微软雅黑" w:eastAsia="方正小标宋简体" w:hAnsi="微软雅黑" w:hint="default"/>
          <w:b w:val="false"/>
          <w:color w:val="000000"/>
          <w:sz w:val="44"/>
          <w:szCs w:val="44"/>
          <w:shd w:val="clear" w:color="auto" w:fill="ffffff"/>
        </w:rPr>
      </w:pPr>
      <w:r>
        <w:rPr>
          <w:rFonts w:ascii="方正小标宋简体" w:cs="微软雅黑" w:eastAsia="方正小标宋简体" w:hAnsi="微软雅黑"/>
          <w:b w:val="false"/>
          <w:color w:val="000000"/>
          <w:sz w:val="44"/>
          <w:szCs w:val="44"/>
          <w:shd w:val="clear" w:color="auto" w:fill="ffffff"/>
        </w:rPr>
        <w:t>竞赛工作的通知</w:t>
      </w:r>
    </w:p>
    <w:p>
      <w:pPr>
        <w:pStyle w:val="style0"/>
        <w:rPr>
          <w:color w:val="000000"/>
        </w:rPr>
      </w:pPr>
    </w:p>
    <w:p>
      <w:pPr>
        <w:pStyle w:val="style0"/>
        <w:snapToGrid w:val="false"/>
        <w:spacing w:lineRule="exact" w:line="540"/>
        <w:rPr>
          <w:rFonts w:ascii="仿宋_GB2312" w:eastAsia="仿宋_GB2312"/>
          <w:sz w:val="32"/>
          <w:szCs w:val="32"/>
        </w:rPr>
      </w:pPr>
      <w:r>
        <w:rPr>
          <w:rFonts w:ascii="仿宋_GB2312" w:eastAsia="仿宋_GB2312" w:hint="eastAsia"/>
          <w:sz w:val="32"/>
          <w:szCs w:val="32"/>
        </w:rPr>
        <w:t>各二级单位团组织：</w:t>
      </w:r>
    </w:p>
    <w:p>
      <w:pPr>
        <w:pStyle w:val="style0"/>
        <w:snapToGrid w:val="false"/>
        <w:spacing w:lineRule="exact" w:line="540"/>
        <w:ind w:firstLine="640" w:firstLineChars="200"/>
        <w:rPr>
          <w:rFonts w:ascii="仿宋_GB2312" w:eastAsia="仿宋_GB2312"/>
          <w:sz w:val="32"/>
          <w:szCs w:val="32"/>
        </w:rPr>
      </w:pPr>
      <w:r>
        <w:rPr>
          <w:rFonts w:ascii="仿宋_GB2312" w:eastAsia="仿宋_GB2312" w:hint="eastAsia"/>
          <w:sz w:val="32"/>
          <w:szCs w:val="32"/>
        </w:rPr>
        <w:t>根据</w:t>
      </w:r>
      <w:r>
        <w:rPr>
          <w:rFonts w:ascii="仿宋_GB2312" w:eastAsia="仿宋_GB2312" w:hint="eastAsia"/>
          <w:sz w:val="32"/>
          <w:szCs w:val="32"/>
          <w:lang w:val="en-US" w:eastAsia="zh-CN"/>
        </w:rPr>
        <w:t>团省委</w:t>
      </w:r>
      <w:r>
        <w:rPr>
          <w:rFonts w:ascii="仿宋_GB2312" w:eastAsia="仿宋_GB2312" w:hint="eastAsia"/>
          <w:sz w:val="32"/>
          <w:szCs w:val="32"/>
        </w:rPr>
        <w:t>《关于</w:t>
      </w:r>
      <w:r>
        <w:rPr>
          <w:rFonts w:ascii="仿宋_GB2312" w:eastAsia="仿宋_GB2312" w:hint="eastAsia"/>
          <w:sz w:val="32"/>
          <w:szCs w:val="32"/>
          <w:lang w:val="en-US" w:eastAsia="zh-CN"/>
        </w:rPr>
        <w:t>举办第十七届</w:t>
      </w:r>
      <w:r>
        <w:rPr>
          <w:rFonts w:ascii="仿宋_GB2312" w:eastAsia="仿宋_GB2312" w:hint="eastAsia"/>
          <w:sz w:val="32"/>
          <w:szCs w:val="32"/>
        </w:rPr>
        <w:t>“挑战杯”</w:t>
      </w:r>
      <w:r>
        <w:rPr>
          <w:rFonts w:ascii="仿宋_GB2312" w:eastAsia="仿宋_GB2312" w:hint="eastAsia"/>
          <w:sz w:val="32"/>
          <w:szCs w:val="32"/>
          <w:lang w:val="en-US" w:eastAsia="zh-CN"/>
        </w:rPr>
        <w:t>广东大学生</w:t>
      </w:r>
      <w:r>
        <w:rPr>
          <w:rFonts w:ascii="仿宋_GB2312" w:eastAsia="仿宋_GB2312" w:hint="eastAsia"/>
          <w:sz w:val="32"/>
          <w:szCs w:val="32"/>
        </w:rPr>
        <w:t>课外学术科技作品竞赛的预通知》</w:t>
      </w:r>
      <w:r>
        <w:rPr>
          <w:rFonts w:ascii="仿宋_GB2312" w:eastAsia="仿宋_GB2312" w:hint="eastAsia"/>
          <w:sz w:val="32"/>
          <w:szCs w:val="32"/>
          <w:lang w:val="en-US" w:eastAsia="zh-CN"/>
        </w:rPr>
        <w:t>要求</w:t>
      </w:r>
      <w:r>
        <w:rPr>
          <w:rFonts w:ascii="仿宋_GB2312" w:eastAsia="仿宋_GB2312" w:hint="eastAsia"/>
          <w:sz w:val="32"/>
          <w:szCs w:val="32"/>
        </w:rPr>
        <w:t>，第十七届“挑战杯”广东大学生课外学术科技作品竞赛</w:t>
      </w:r>
      <w:r>
        <w:rPr>
          <w:rFonts w:ascii="仿宋_GB2312" w:eastAsia="仿宋_GB2312" w:hint="eastAsia"/>
          <w:sz w:val="32"/>
          <w:szCs w:val="32"/>
          <w:lang w:val="en-US" w:eastAsia="zh-CN"/>
        </w:rPr>
        <w:t>拟于2023年5月份举行，3月份启动报名工作。</w:t>
      </w:r>
      <w:r>
        <w:rPr>
          <w:rFonts w:ascii="仿宋_GB2312" w:eastAsia="仿宋_GB2312" w:hint="eastAsia"/>
          <w:sz w:val="32"/>
          <w:szCs w:val="32"/>
        </w:rPr>
        <w:t>围绕学校“</w:t>
      </w:r>
      <w:r>
        <w:rPr>
          <w:rFonts w:ascii="仿宋_GB2312" w:eastAsia="仿宋_GB2312" w:hint="eastAsia"/>
          <w:sz w:val="32"/>
          <w:szCs w:val="32"/>
          <w:lang w:val="en-US" w:eastAsia="zh-CN"/>
        </w:rPr>
        <w:t>加强基础、促进交叉、尊重选择、卓越教学</w:t>
      </w:r>
      <w:r>
        <w:rPr>
          <w:rFonts w:ascii="仿宋_GB2312" w:eastAsia="仿宋_GB2312" w:hint="eastAsia"/>
          <w:sz w:val="32"/>
          <w:szCs w:val="32"/>
        </w:rPr>
        <w:t>”的人才</w:t>
      </w:r>
      <w:r>
        <w:rPr>
          <w:rFonts w:ascii="仿宋_GB2312" w:eastAsia="仿宋_GB2312" w:hint="eastAsia"/>
          <w:sz w:val="32"/>
          <w:szCs w:val="32"/>
          <w:lang w:val="en-US" w:eastAsia="zh-CN"/>
        </w:rPr>
        <w:t>培养理念</w:t>
      </w:r>
      <w:r>
        <w:rPr>
          <w:rFonts w:ascii="仿宋_GB2312" w:eastAsia="仿宋_GB2312" w:hint="eastAsia"/>
          <w:sz w:val="32"/>
          <w:szCs w:val="32"/>
        </w:rPr>
        <w:t>，进一步提升我校学生的创新精神、科学意识和实践能力，引导学生刻苦学习、努力钻研，积极投身学术科技创新实践活动，推进大学生课外学术科技活动发展，</w:t>
      </w:r>
      <w:r>
        <w:rPr>
          <w:rFonts w:ascii="仿宋_GB2312" w:eastAsia="仿宋_GB2312" w:hint="eastAsia"/>
          <w:sz w:val="32"/>
          <w:szCs w:val="32"/>
          <w:lang w:val="en-US" w:eastAsia="zh-CN"/>
        </w:rPr>
        <w:t>培养具有学习力、思考力和行动力，能够引领未来的创新型人才，</w:t>
      </w:r>
      <w:r>
        <w:rPr>
          <w:rFonts w:ascii="仿宋_GB2312" w:eastAsia="仿宋_GB2312" w:hint="eastAsia"/>
          <w:sz w:val="32"/>
          <w:szCs w:val="32"/>
        </w:rPr>
        <w:t>做好第十七届“挑战杯”广东大学生课外学术科技作品竞赛</w:t>
      </w:r>
      <w:r>
        <w:rPr>
          <w:rFonts w:ascii="仿宋_GB2312" w:eastAsia="仿宋_GB2312" w:hint="eastAsia"/>
          <w:sz w:val="32"/>
          <w:szCs w:val="32"/>
          <w:lang w:val="en-US" w:eastAsia="zh-CN"/>
        </w:rPr>
        <w:t>准备工作</w:t>
      </w:r>
      <w:r>
        <w:rPr>
          <w:rFonts w:ascii="仿宋_GB2312" w:eastAsia="仿宋_GB2312" w:hint="eastAsia"/>
          <w:sz w:val="32"/>
          <w:szCs w:val="32"/>
        </w:rPr>
        <w:t>，现就大赛有关事项通知如下：</w:t>
      </w:r>
    </w:p>
    <w:p>
      <w:pPr>
        <w:pStyle w:val="style0"/>
        <w:snapToGrid w:val="false"/>
        <w:spacing w:lineRule="exact" w:line="540"/>
        <w:ind w:firstLine="643"/>
        <w:rPr>
          <w:rFonts w:ascii="黑体" w:eastAsia="黑体" w:hAnsi="黑体"/>
          <w:sz w:val="32"/>
          <w:szCs w:val="32"/>
        </w:rPr>
      </w:pPr>
      <w:r>
        <w:rPr>
          <w:rFonts w:ascii="黑体" w:eastAsia="黑体" w:hAnsi="黑体" w:hint="eastAsia"/>
          <w:sz w:val="32"/>
          <w:szCs w:val="32"/>
        </w:rPr>
        <w:t>一、高度重视，精心组织</w:t>
      </w:r>
    </w:p>
    <w:p>
      <w:pPr>
        <w:pStyle w:val="style0"/>
        <w:snapToGrid w:val="false"/>
        <w:spacing w:lineRule="exact" w:line="540"/>
        <w:ind w:firstLine="641"/>
        <w:rPr>
          <w:rFonts w:ascii="仿宋_GB2312" w:eastAsia="仿宋_GB2312" w:hint="eastAsia"/>
          <w:sz w:val="32"/>
          <w:szCs w:val="32"/>
        </w:rPr>
      </w:pPr>
      <w:r>
        <w:rPr>
          <w:rFonts w:ascii="仿宋_GB2312" w:eastAsia="仿宋_GB2312" w:hint="eastAsia"/>
          <w:sz w:val="32"/>
          <w:szCs w:val="32"/>
        </w:rPr>
        <w:t>各单位要高度重视大赛工作，安排专人跟进，根据工作需要成立工作小组，由学院领导、团组织负责同志、指导老师、学生骨干参与相关工作，为师生参赛提供必要的支持。根据</w:t>
      </w:r>
      <w:r>
        <w:rPr>
          <w:rFonts w:ascii="仿宋_GB2312" w:eastAsia="仿宋_GB2312" w:hint="eastAsia"/>
          <w:sz w:val="32"/>
          <w:szCs w:val="32"/>
          <w:lang w:val="en-US" w:eastAsia="zh-CN"/>
        </w:rPr>
        <w:t>有关大赛通知</w:t>
      </w:r>
      <w:r>
        <w:rPr>
          <w:rFonts w:ascii="仿宋_GB2312" w:eastAsia="仿宋_GB2312" w:hint="eastAsia"/>
          <w:sz w:val="32"/>
          <w:szCs w:val="32"/>
        </w:rPr>
        <w:t>做好宣传动员和组织参赛工作，鼓励有兴趣、有能力的学生参赛，邀请院内外专家学者、青年教师等高层次人才参与指导。</w:t>
      </w:r>
    </w:p>
    <w:p>
      <w:pPr>
        <w:pStyle w:val="style0"/>
        <w:snapToGrid w:val="false"/>
        <w:spacing w:lineRule="exact" w:line="540"/>
        <w:ind w:firstLine="641"/>
        <w:rPr>
          <w:rFonts w:ascii="黑体" w:eastAsia="黑体" w:hAnsi="黑体"/>
          <w:sz w:val="32"/>
          <w:szCs w:val="32"/>
        </w:rPr>
      </w:pPr>
      <w:r>
        <w:rPr>
          <w:rFonts w:ascii="黑体" w:eastAsia="黑体" w:hAnsi="黑体" w:hint="eastAsia"/>
          <w:sz w:val="32"/>
          <w:szCs w:val="32"/>
        </w:rPr>
        <w:t>二、加强</w:t>
      </w:r>
      <w:r>
        <w:rPr>
          <w:rFonts w:ascii="黑体" w:eastAsia="黑体" w:hAnsi="黑体" w:hint="eastAsia"/>
          <w:sz w:val="32"/>
          <w:szCs w:val="32"/>
          <w:lang w:val="en-US" w:eastAsia="zh-CN"/>
        </w:rPr>
        <w:t>重点作品</w:t>
      </w:r>
      <w:r>
        <w:rPr>
          <w:rFonts w:ascii="黑体" w:eastAsia="黑体" w:hAnsi="黑体" w:hint="eastAsia"/>
          <w:sz w:val="32"/>
          <w:szCs w:val="32"/>
        </w:rPr>
        <w:t>挖掘、</w:t>
      </w:r>
      <w:r>
        <w:rPr>
          <w:rFonts w:ascii="黑体" w:eastAsia="黑体" w:hAnsi="黑体" w:hint="eastAsia"/>
          <w:sz w:val="32"/>
          <w:szCs w:val="32"/>
          <w:lang w:val="en-US" w:eastAsia="zh-CN"/>
        </w:rPr>
        <w:t>推荐</w:t>
      </w:r>
      <w:r>
        <w:rPr>
          <w:rFonts w:ascii="黑体" w:eastAsia="黑体" w:hAnsi="黑体" w:hint="eastAsia"/>
          <w:sz w:val="32"/>
          <w:szCs w:val="32"/>
        </w:rPr>
        <w:t>工作</w:t>
      </w:r>
    </w:p>
    <w:p>
      <w:pPr>
        <w:pStyle w:val="style0"/>
        <w:snapToGrid w:val="false"/>
        <w:spacing w:lineRule="exact" w:line="540"/>
        <w:ind w:firstLine="640" w:firstLineChars="200"/>
        <w:rPr>
          <w:rFonts w:ascii="仿宋_GB2312" w:eastAsia="仿宋_GB2312" w:hint="eastAsia"/>
          <w:sz w:val="32"/>
          <w:szCs w:val="32"/>
          <w:lang w:val="en-US" w:eastAsia="zh-CN"/>
        </w:rPr>
      </w:pPr>
      <w:r>
        <w:rPr>
          <w:rFonts w:ascii="仿宋_GB2312" w:eastAsia="仿宋_GB2312" w:hint="eastAsia"/>
          <w:sz w:val="32"/>
          <w:szCs w:val="32"/>
        </w:rPr>
        <w:t>中山大学第十六届赢在中大创新创业大赛将作为第十七届“挑战杯”广东大学生课外学术科技作品竞赛的重要组成部分</w:t>
      </w:r>
      <w:r>
        <w:rPr>
          <w:rFonts w:ascii="仿宋_GB2312" w:eastAsia="仿宋_GB2312" w:hint="eastAsia"/>
          <w:sz w:val="32"/>
          <w:szCs w:val="32"/>
          <w:lang w:eastAsia="zh-CN"/>
        </w:rPr>
        <w:t>，</w:t>
      </w:r>
      <w:r>
        <w:rPr>
          <w:rFonts w:ascii="仿宋_GB2312" w:eastAsia="仿宋_GB2312" w:hint="eastAsia"/>
          <w:sz w:val="32"/>
          <w:szCs w:val="32"/>
          <w:lang w:val="en-US" w:eastAsia="zh-CN"/>
        </w:rPr>
        <w:t>同时鼓励各单位积极推荐优秀作品参加第十七届“挑战杯”广东大学生课外学术科技作品竞赛。学校将在中山大学第十六届赢在中大创新创业大赛获奖作品和各学院直接推荐的优秀作品中评审推荐作品参加第十七届“挑战杯”广东大学生课外学术科技作品竞赛。</w:t>
      </w:r>
    </w:p>
    <w:p>
      <w:pPr>
        <w:pStyle w:val="style0"/>
        <w:snapToGrid w:val="false"/>
        <w:spacing w:lineRule="exact" w:line="540"/>
        <w:ind w:firstLine="640" w:firstLineChars="200"/>
        <w:rPr>
          <w:rFonts w:ascii="仿宋_GB2312" w:eastAsia="仿宋_GB2312" w:hint="eastAsia"/>
          <w:sz w:val="32"/>
          <w:szCs w:val="32"/>
          <w:lang w:val="en-US" w:eastAsia="zh-CN"/>
        </w:rPr>
      </w:pPr>
      <w:r>
        <w:rPr>
          <w:rFonts w:ascii="仿宋_GB2312" w:eastAsia="仿宋_GB2312" w:hint="eastAsia"/>
          <w:sz w:val="32"/>
          <w:szCs w:val="32"/>
        </w:rPr>
        <w:t>各单位</w:t>
      </w:r>
      <w:r>
        <w:rPr>
          <w:rFonts w:ascii="仿宋_GB2312" w:eastAsia="仿宋_GB2312" w:hint="eastAsia"/>
          <w:sz w:val="32"/>
          <w:szCs w:val="32"/>
          <w:lang w:val="en-US" w:eastAsia="zh-CN"/>
        </w:rPr>
        <w:t>请</w:t>
      </w:r>
      <w:r>
        <w:rPr>
          <w:rFonts w:ascii="仿宋_GB2312" w:eastAsia="仿宋_GB2312" w:hint="eastAsia"/>
          <w:sz w:val="32"/>
          <w:szCs w:val="32"/>
        </w:rPr>
        <w:t>仔细研读相关通知（见附件1），熟悉大赛规则，提高</w:t>
      </w:r>
      <w:r>
        <w:rPr>
          <w:rFonts w:ascii="仿宋_GB2312" w:eastAsia="仿宋_GB2312" w:hint="eastAsia"/>
          <w:sz w:val="32"/>
          <w:szCs w:val="32"/>
          <w:lang w:val="en-US" w:eastAsia="zh-CN"/>
        </w:rPr>
        <w:t>赛事</w:t>
      </w:r>
      <w:r>
        <w:rPr>
          <w:rFonts w:ascii="仿宋_GB2312" w:eastAsia="仿宋_GB2312" w:hint="eastAsia"/>
          <w:sz w:val="32"/>
          <w:szCs w:val="32"/>
        </w:rPr>
        <w:t>针对性</w:t>
      </w:r>
      <w:r>
        <w:rPr>
          <w:rFonts w:ascii="仿宋_GB2312" w:eastAsia="仿宋_GB2312" w:hint="eastAsia"/>
          <w:sz w:val="32"/>
          <w:szCs w:val="32"/>
          <w:lang w:eastAsia="zh-CN"/>
        </w:rPr>
        <w:t>，</w:t>
      </w:r>
      <w:r>
        <w:rPr>
          <w:rFonts w:ascii="仿宋_GB2312" w:eastAsia="仿宋_GB2312" w:hint="eastAsia"/>
          <w:sz w:val="32"/>
          <w:szCs w:val="32"/>
          <w:lang w:val="en-US" w:eastAsia="zh-CN"/>
        </w:rPr>
        <w:t>在创新创业大赛等关联性较强的学术创新活动中挖掘、推荐优秀作品并于3月2日中午12:00前将作品申报书（附件二）电子版、加盖公章扫描件一并发送至联系邮箱 zdgqt @mail.sysu.edu.cn。</w:t>
      </w:r>
    </w:p>
    <w:p>
      <w:pPr>
        <w:pStyle w:val="style0"/>
        <w:snapToGrid w:val="false"/>
        <w:spacing w:lineRule="exact" w:line="540"/>
        <w:ind w:firstLine="640" w:firstLineChars="200"/>
        <w:rPr>
          <w:rFonts w:ascii="仿宋_GB2312" w:eastAsia="仿宋_GB2312" w:hint="eastAsia"/>
          <w:sz w:val="32"/>
          <w:szCs w:val="32"/>
          <w:lang w:val="en-US" w:eastAsia="zh-CN"/>
        </w:rPr>
      </w:pPr>
    </w:p>
    <w:p>
      <w:pPr>
        <w:pStyle w:val="style0"/>
        <w:snapToGrid w:val="false"/>
        <w:spacing w:lineRule="exact" w:line="540"/>
        <w:ind w:firstLine="640" w:firstLineChars="200"/>
        <w:rPr>
          <w:rFonts w:ascii="仿宋_GB2312" w:eastAsia="仿宋_GB2312"/>
          <w:sz w:val="32"/>
          <w:szCs w:val="32"/>
        </w:rPr>
      </w:pPr>
      <w:r>
        <w:rPr>
          <w:rFonts w:ascii="仿宋_GB2312" w:eastAsia="仿宋_GB2312" w:hint="eastAsia"/>
          <w:sz w:val="32"/>
          <w:szCs w:val="32"/>
        </w:rPr>
        <w:t>附件：</w:t>
      </w:r>
    </w:p>
    <w:p>
      <w:pPr>
        <w:pStyle w:val="style0"/>
        <w:snapToGrid w:val="false"/>
        <w:spacing w:lineRule="exact" w:line="540"/>
        <w:ind w:firstLine="640" w:firstLineChars="200"/>
        <w:rPr>
          <w:rFonts w:ascii="仿宋_GB2312" w:eastAsia="仿宋_GB2312"/>
          <w:sz w:val="32"/>
          <w:szCs w:val="32"/>
        </w:rPr>
      </w:pPr>
      <w:r>
        <w:rPr>
          <w:rFonts w:ascii="仿宋_GB2312" w:eastAsia="仿宋_GB2312" w:hint="eastAsia"/>
          <w:sz w:val="32"/>
          <w:szCs w:val="32"/>
        </w:rPr>
        <w:t>1.关于举办第十七届“挑战杯”广东大学生课外学术科技作品竞赛的预通知</w:t>
      </w:r>
      <w:bookmarkStart w:id="1" w:name="_GoBack"/>
      <w:bookmarkEnd w:id="1"/>
    </w:p>
    <w:p>
      <w:pPr>
        <w:pStyle w:val="style0"/>
        <w:snapToGrid w:val="false"/>
        <w:spacing w:lineRule="exact" w:line="540"/>
        <w:ind w:firstLine="640" w:firstLineChars="200"/>
        <w:rPr>
          <w:rFonts w:ascii="仿宋_GB2312" w:eastAsia="仿宋_GB2312" w:hint="eastAsia"/>
          <w:sz w:val="32"/>
          <w:szCs w:val="32"/>
          <w:lang w:val="en-US" w:eastAsia="zh-CN"/>
        </w:rPr>
      </w:pPr>
      <w:r>
        <w:rPr>
          <w:rFonts w:ascii="仿宋_GB2312" w:eastAsia="仿宋_GB2312" w:hint="eastAsia"/>
          <w:sz w:val="32"/>
          <w:szCs w:val="32"/>
          <w:lang w:val="en-US" w:eastAsia="zh-CN"/>
        </w:rPr>
        <w:t>2.作品申报书</w:t>
      </w:r>
    </w:p>
    <w:p>
      <w:pPr>
        <w:pStyle w:val="style0"/>
        <w:snapToGrid w:val="false"/>
        <w:spacing w:lineRule="exact" w:line="540"/>
        <w:ind w:firstLine="640" w:firstLineChars="200"/>
        <w:rPr>
          <w:rFonts w:ascii="仿宋_GB2312" w:eastAsia="仿宋_GB2312" w:hint="default"/>
          <w:sz w:val="32"/>
          <w:szCs w:val="32"/>
          <w:lang w:val="en-US" w:eastAsia="zh-CN"/>
        </w:rPr>
      </w:pPr>
    </w:p>
    <w:p>
      <w:pPr>
        <w:pStyle w:val="style0"/>
        <w:snapToGrid w:val="false"/>
        <w:spacing w:lineRule="exact" w:line="540"/>
        <w:ind w:firstLine="640" w:firstLineChars="200"/>
        <w:rPr>
          <w:rFonts w:ascii="仿宋_GB2312" w:eastAsia="仿宋_GB2312" w:hint="default"/>
          <w:sz w:val="32"/>
          <w:szCs w:val="32"/>
          <w:lang w:val="en-US" w:eastAsia="zh-CN"/>
        </w:rPr>
      </w:pPr>
    </w:p>
    <w:p>
      <w:pPr>
        <w:pStyle w:val="style0"/>
        <w:snapToGrid w:val="false"/>
        <w:spacing w:lineRule="exact" w:line="540"/>
        <w:ind w:firstLine="640" w:firstLineChars="200"/>
        <w:rPr>
          <w:rFonts w:ascii="仿宋_GB2312" w:eastAsia="仿宋_GB2312" w:hint="default"/>
          <w:sz w:val="32"/>
          <w:szCs w:val="32"/>
          <w:lang w:val="en-US" w:eastAsia="zh-CN"/>
        </w:rPr>
      </w:pPr>
    </w:p>
    <w:p>
      <w:pPr>
        <w:pStyle w:val="style0"/>
        <w:snapToGrid w:val="false"/>
        <w:spacing w:lineRule="exact" w:line="540"/>
        <w:ind w:firstLine="640" w:firstLineChars="200"/>
        <w:rPr>
          <w:rFonts w:ascii="仿宋_GB2312" w:eastAsia="仿宋_GB2312" w:hint="default"/>
          <w:sz w:val="32"/>
          <w:szCs w:val="32"/>
          <w:lang w:val="en-US" w:eastAsia="zh-CN"/>
        </w:rPr>
      </w:pPr>
    </w:p>
    <w:p>
      <w:pPr>
        <w:pStyle w:val="style0"/>
        <w:snapToGrid w:val="false"/>
        <w:spacing w:lineRule="exact" w:line="540"/>
        <w:jc w:val="right"/>
        <w:rPr>
          <w:rFonts w:ascii="仿宋_GB2312" w:eastAsia="仿宋_GB2312" w:hint="eastAsia"/>
          <w:sz w:val="32"/>
          <w:szCs w:val="32"/>
        </w:rPr>
      </w:pPr>
    </w:p>
    <w:p>
      <w:pPr>
        <w:pStyle w:val="style0"/>
        <w:snapToGrid w:val="false"/>
        <w:spacing w:lineRule="exact" w:line="540"/>
        <w:jc w:val="right"/>
        <w:rPr>
          <w:rFonts w:ascii="仿宋_GB2312" w:eastAsia="仿宋_GB2312"/>
          <w:sz w:val="32"/>
          <w:szCs w:val="32"/>
        </w:rPr>
      </w:pPr>
      <w:r>
        <w:rPr>
          <w:rFonts w:ascii="仿宋_GB2312" w:eastAsia="仿宋_GB2312" w:hint="eastAsia"/>
          <w:sz w:val="32"/>
          <w:szCs w:val="32"/>
        </w:rPr>
        <w:t>共青团中山大学委员会</w:t>
      </w:r>
    </w:p>
    <w:p>
      <w:pPr>
        <w:pStyle w:val="style0"/>
        <w:snapToGrid w:val="false"/>
        <w:spacing w:lineRule="exact" w:line="540"/>
        <w:jc w:val="center"/>
        <w:rPr>
          <w:rFonts w:ascii="仿宋_GB2312" w:eastAsia="仿宋_GB2312"/>
          <w:sz w:val="32"/>
          <w:szCs w:val="32"/>
        </w:rPr>
      </w:pPr>
      <w:r>
        <w:rPr>
          <w:rFonts w:ascii="仿宋_GB2312" w:eastAsia="仿宋_GB2312" w:hint="eastAsia"/>
          <w:sz w:val="32"/>
          <w:szCs w:val="32"/>
          <w:lang w:val="en-US" w:eastAsia="zh-CN"/>
        </w:rPr>
        <w:t xml:space="preserve">                                </w:t>
      </w:r>
      <w:r>
        <w:rPr>
          <w:rFonts w:ascii="仿宋_GB2312" w:eastAsia="仿宋_GB2312" w:hint="eastAsia"/>
          <w:sz w:val="32"/>
          <w:szCs w:val="32"/>
        </w:rPr>
        <w:t>202</w:t>
      </w:r>
      <w:r>
        <w:rPr>
          <w:rFonts w:ascii="仿宋_GB2312" w:eastAsia="仿宋_GB2312" w:hint="eastAsia"/>
          <w:sz w:val="32"/>
          <w:szCs w:val="32"/>
          <w:lang w:val="en-US" w:eastAsia="zh-CN"/>
        </w:rPr>
        <w:t>3</w:t>
      </w:r>
      <w:r>
        <w:rPr>
          <w:rFonts w:ascii="仿宋_GB2312" w:eastAsia="仿宋_GB2312" w:hint="eastAsia"/>
          <w:sz w:val="32"/>
          <w:szCs w:val="32"/>
        </w:rPr>
        <w:t>年1月1</w:t>
      </w:r>
      <w:r>
        <w:rPr>
          <w:rFonts w:ascii="仿宋_GB2312" w:eastAsia="仿宋_GB2312" w:hint="eastAsia"/>
          <w:sz w:val="32"/>
          <w:szCs w:val="32"/>
          <w:lang w:val="en-US" w:eastAsia="zh-CN"/>
        </w:rPr>
        <w:t>6</w:t>
      </w:r>
      <w:r>
        <w:rPr>
          <w:rFonts w:ascii="仿宋_GB2312" w:eastAsia="仿宋_GB2312" w:hint="eastAsia"/>
          <w:sz w:val="32"/>
          <w:szCs w:val="32"/>
        </w:rPr>
        <w:t>日</w:t>
      </w:r>
    </w:p>
    <w:p>
      <w:pPr>
        <w:pStyle w:val="style0"/>
        <w:snapToGrid w:val="false"/>
        <w:spacing w:lineRule="exact" w:line="540"/>
        <w:ind w:right="1280" w:firstLine="640" w:firstLineChars="200"/>
        <w:rPr>
          <w:rFonts w:ascii="仿宋_GB2312" w:eastAsia="仿宋_GB2312"/>
          <w:sz w:val="32"/>
          <w:szCs w:val="32"/>
        </w:rPr>
      </w:pPr>
      <w:r>
        <w:rPr>
          <w:rFonts w:ascii="仿宋_GB2312" w:eastAsia="仿宋_GB2312" w:hint="eastAsia"/>
          <w:sz w:val="32"/>
          <w:szCs w:val="32"/>
        </w:rPr>
        <w:t>（联系人：</w:t>
      </w:r>
      <w:r>
        <w:rPr>
          <w:rFonts w:ascii="仿宋_GB2312" w:eastAsia="仿宋_GB2312" w:hint="eastAsia"/>
          <w:sz w:val="32"/>
          <w:szCs w:val="32"/>
          <w:lang w:val="en-US" w:eastAsia="zh-CN"/>
        </w:rPr>
        <w:t>杨华岳</w:t>
      </w:r>
      <w:r>
        <w:rPr>
          <w:rFonts w:ascii="仿宋_GB2312" w:eastAsia="仿宋_GB2312" w:hint="eastAsia"/>
          <w:sz w:val="32"/>
          <w:szCs w:val="32"/>
        </w:rPr>
        <w:t>，联系电话：020-8411</w:t>
      </w:r>
      <w:r>
        <w:rPr>
          <w:rFonts w:ascii="仿宋_GB2312" w:eastAsia="仿宋_GB2312" w:hint="eastAsia"/>
          <w:sz w:val="32"/>
          <w:szCs w:val="32"/>
          <w:lang w:val="en-US" w:eastAsia="zh-CN"/>
        </w:rPr>
        <w:t>1202</w:t>
      </w:r>
      <w:r>
        <w:rPr>
          <w:rFonts w:ascii="仿宋_GB2312" w:eastAsia="仿宋_GB2312" w:hint="eastAsia"/>
          <w:sz w:val="32"/>
          <w:szCs w:val="32"/>
        </w:rPr>
        <w:t>）</w:t>
      </w:r>
    </w:p>
    <w:sectPr>
      <w:pgSz w:w="11906" w:h="16838" w:orient="portrait"/>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20007A87" w:usb1="80000000" w:usb2="00000008" w:usb3="00000000" w:csb0="000001FF" w:csb1="00000000"/>
  </w:font>
  <w:font w:name="宋体">
    <w:altName w:val="宋体"/>
    <w:panose1 w:val="02010600030000010101"/>
    <w:charset w:val="86"/>
    <w:family w:val="auto"/>
    <w:pitch w:val="default"/>
    <w:sig w:usb0="00000003" w:usb1="288F0000" w:usb2="00000006" w:usb3="00000000" w:csb0="00040001" w:csb1="00000000"/>
  </w:font>
  <w:font w:name="Wingdings">
    <w:altName w:val="Wingdings"/>
    <w:panose1 w:val="05000000000000000000"/>
    <w:charset w:val="02"/>
    <w:family w:val="auto"/>
    <w:pitch w:val="default"/>
    <w:sig w:usb0="00000000" w:usb1="00000000" w:usb2="00000000" w:usb3="00000000" w:csb0="80000000" w:csb1="00000000"/>
  </w:font>
  <w:font w:name="Arial">
    <w:altName w:val="Arial"/>
    <w:panose1 w:val="020b0604020000020204"/>
    <w:charset w:val="01"/>
    <w:family w:val="swiss"/>
    <w:pitch w:val="default"/>
    <w:sig w:usb0="E0002EFF" w:usb1="C000785B" w:usb2="00000009" w:usb3="00000000" w:csb0="400001FF" w:csb1="FFFF0000"/>
  </w:font>
  <w:font w:name="黑体">
    <w:altName w:val="黑体"/>
    <w:panose1 w:val="02010609060000010101"/>
    <w:charset w:val="86"/>
    <w:family w:val="auto"/>
    <w:pitch w:val="default"/>
    <w:sig w:usb0="800002BF" w:usb1="38CF7CFA" w:usb2="00000016" w:usb3="00000000" w:csb0="00040001" w:csb1="00000000"/>
  </w:font>
  <w:font w:name="Courier New">
    <w:altName w:val="Courier New"/>
    <w:panose1 w:val="02070309020000020404"/>
    <w:charset w:val="01"/>
    <w:family w:val="modern"/>
    <w:pitch w:val="default"/>
    <w:sig w:usb0="E0002EFF" w:usb1="C0007843" w:usb2="00000009" w:usb3="00000000" w:csb0="400001FF" w:csb1="FFFF0000"/>
  </w:font>
  <w:font w:name="Symbol">
    <w:altName w:val="Symbol"/>
    <w:panose1 w:val="05050102010000020507"/>
    <w:charset w:val="02"/>
    <w:family w:val="roman"/>
    <w:pitch w:val="default"/>
    <w:sig w:usb0="00000000" w:usb1="00000000" w:usb2="00000000" w:usb3="00000000" w:csb0="80000000" w:csb1="00000000"/>
  </w:font>
  <w:font w:name="Calibri">
    <w:altName w:val="Calibri"/>
    <w:panose1 w:val="020f0502020000030204"/>
    <w:charset w:val="00"/>
    <w:family w:val="swiss"/>
    <w:pitch w:val="default"/>
    <w:sig w:usb0="E4002EFF" w:usb1="C000247B" w:usb2="00000009" w:usb3="00000000" w:csb0="200001FF" w:csb1="00000000"/>
  </w:font>
  <w:font w:name="方正小标宋简体">
    <w:altName w:val="方正小标宋简体"/>
    <w:panose1 w:val="02000000000000000000"/>
    <w:charset w:val="86"/>
    <w:family w:val="auto"/>
    <w:pitch w:val="default"/>
    <w:sig w:usb0="A00002BF" w:usb1="184F6CFA" w:usb2="00000012" w:usb3="00000000" w:csb0="00040001" w:csb1="00000000"/>
  </w:font>
  <w:font w:name="仿宋_GB2312">
    <w:altName w:val="仿宋_GB2312"/>
    <w:panose1 w:val="02010609030000010101"/>
    <w:charset w:val="86"/>
    <w:family w:val="modern"/>
    <w:pitch w:val="default"/>
    <w:sig w:usb0="00000001" w:usb1="080E0000" w:usb2="00000000" w:usb3="00000000" w:csb0="00040000" w:csb1="00000000"/>
  </w:font>
  <w:font w:name="微软雅黑">
    <w:altName w:val="微软雅黑"/>
    <w:panose1 w:val="020b0503020000020204"/>
    <w:charset w:val="86"/>
    <w:family w:val="swiss"/>
    <w:pitch w:val="default"/>
    <w:sig w:usb0="80000287" w:usb1="2ACF3C50" w:usb2="00000016" w:usb3="00000000" w:csb0="0004001F" w:csb1="00000000"/>
  </w:font>
  <w:font w:name="Tahoma">
    <w:altName w:val="Tahoma"/>
    <w:panose1 w:val="020b0604030000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embedSystemFonts/>
  <w:bordersDoNotSurroundHeader/>
  <w:bordersDoNotSurroundFooter/>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trackRevisions/>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宋体" w:hAnsi="Calibri"/>
        <w:lang w:val="en-US" w:bidi="ar-SA" w:eastAsia="en-US"/>
      </w:rPr>
    </w:rPrDefault>
    <w:pPrDefault>
      <w:pPr/>
    </w:pPrDefault>
  </w:docDefaults>
  <w:style w:type="paragraph" w:default="1" w:styleId="style0">
    <w:name w:val="Normal"/>
    <w:next w:val="style0"/>
    <w:qFormat/>
    <w:pPr>
      <w:widowControl w:val="false"/>
      <w:jc w:val="both"/>
    </w:pPr>
    <w:rPr>
      <w:rFonts w:ascii="Calibri" w:cs="宋体" w:eastAsia="宋体" w:hAnsi="Calibri"/>
      <w:kern w:val="2"/>
      <w:sz w:val="21"/>
      <w:szCs w:val="24"/>
      <w:lang w:val="en-US" w:bidi="ar-SA" w:eastAsia="zh-CN"/>
    </w:rPr>
  </w:style>
  <w:style w:type="paragraph" w:styleId="style1">
    <w:name w:val="heading 1"/>
    <w:basedOn w:val="style0"/>
    <w:next w:val="style0"/>
    <w:qFormat/>
    <w:pPr>
      <w:spacing w:beforeAutospacing="true" w:afterAutospacing="true"/>
      <w:jc w:val="left"/>
      <w:outlineLvl w:val="0"/>
    </w:pPr>
    <w:rPr>
      <w:rFonts w:ascii="宋体" w:cs="Times New Roman" w:eastAsia="宋体" w:hAnsi="宋体" w:hint="eastAsia"/>
      <w:b/>
      <w:kern w:val="44"/>
      <w:sz w:val="48"/>
      <w:szCs w:val="48"/>
    </w:rPr>
  </w:style>
  <w:style w:type="character" w:default="1" w:styleId="style65">
    <w:name w:val="Default Paragraph Font"/>
    <w:next w:val="style65"/>
    <w:qFormat/>
    <w:uiPriority w:val="1"/>
  </w:style>
  <w:style w:type="table" w:default="1" w:styleId="style105">
    <w:name w:val="Normal Table"/>
    <w:next w:val="style105"/>
    <w:qFormat/>
    <w:uiPriority w:val="99"/>
    <w:pPr/>
    <w:rPr/>
    <w:tblPr>
      <w:tblCellMar>
        <w:top w:w="0" w:type="dxa"/>
        <w:left w:w="108" w:type="dxa"/>
        <w:bottom w:w="0" w:type="dxa"/>
        <w:right w:w="108" w:type="dxa"/>
      </w:tblCellMar>
    </w:tblPr>
    <w:tcPr>
      <w:tcBorders/>
    </w:tcPr>
  </w:style>
  <w:style w:type="paragraph" w:styleId="style76">
    <w:name w:val="Date"/>
    <w:basedOn w:val="style0"/>
    <w:next w:val="style0"/>
    <w:link w:val="style4097"/>
    <w:qFormat/>
    <w:pPr>
      <w:ind w:left="100" w:leftChars="2500"/>
    </w:pPr>
    <w:rPr/>
  </w:style>
  <w:style w:type="paragraph" w:styleId="style32">
    <w:name w:val="footer"/>
    <w:basedOn w:val="style0"/>
    <w:next w:val="style32"/>
    <w:link w:val="style4099"/>
    <w:qFormat/>
    <w:pPr>
      <w:tabs>
        <w:tab w:val="center" w:leader="none" w:pos="4153"/>
        <w:tab w:val="right" w:leader="none" w:pos="8306"/>
      </w:tabs>
      <w:snapToGrid w:val="false"/>
      <w:jc w:val="left"/>
    </w:pPr>
    <w:rPr>
      <w:sz w:val="18"/>
      <w:szCs w:val="18"/>
    </w:rPr>
  </w:style>
  <w:style w:type="paragraph" w:styleId="style31">
    <w:name w:val="header"/>
    <w:basedOn w:val="style0"/>
    <w:next w:val="style31"/>
    <w:link w:val="style4098"/>
    <w:qFormat/>
    <w:pPr>
      <w:pBdr>
        <w:bottom w:val="single" w:sz="6" w:space="1" w:color="auto"/>
      </w:pBdr>
      <w:tabs>
        <w:tab w:val="center" w:leader="none" w:pos="4153"/>
        <w:tab w:val="right" w:leader="none" w:pos="8306"/>
      </w:tabs>
      <w:snapToGrid w:val="false"/>
      <w:jc w:val="center"/>
    </w:pPr>
    <w:rPr>
      <w:sz w:val="18"/>
      <w:szCs w:val="18"/>
    </w:rPr>
  </w:style>
  <w:style w:type="paragraph" w:styleId="style94">
    <w:name w:val="Normal (Web)"/>
    <w:basedOn w:val="style0"/>
    <w:next w:val="style94"/>
    <w:qFormat/>
    <w:pPr>
      <w:spacing w:beforeAutospacing="true" w:afterAutospacing="true"/>
      <w:jc w:val="left"/>
    </w:pPr>
    <w:rPr>
      <w:rFonts w:cs="Times New Roman"/>
      <w:kern w:val="0"/>
      <w:sz w:val="24"/>
    </w:rPr>
  </w:style>
  <w:style w:type="character" w:customStyle="1" w:styleId="style4097">
    <w:name w:val="日期 字符"/>
    <w:basedOn w:val="style65"/>
    <w:next w:val="style4097"/>
    <w:link w:val="style76"/>
    <w:qFormat/>
    <w:rPr>
      <w:kern w:val="2"/>
      <w:sz w:val="21"/>
      <w:szCs w:val="24"/>
    </w:rPr>
  </w:style>
  <w:style w:type="character" w:customStyle="1" w:styleId="style4098">
    <w:name w:val="页眉 字符"/>
    <w:basedOn w:val="style65"/>
    <w:next w:val="style4098"/>
    <w:link w:val="style31"/>
    <w:qFormat/>
    <w:rPr>
      <w:kern w:val="2"/>
      <w:sz w:val="18"/>
      <w:szCs w:val="18"/>
    </w:rPr>
  </w:style>
  <w:style w:type="character" w:customStyle="1" w:styleId="style4099">
    <w:name w:val="页脚 字符"/>
    <w:basedOn w:val="style65"/>
    <w:next w:val="style4099"/>
    <w:link w:val="style32"/>
    <w:qFormat/>
    <w:rPr>
      <w:kern w:val="2"/>
      <w:sz w:val="18"/>
      <w:szCs w:val="18"/>
    </w:rPr>
  </w:style>
  <w:style w:type="paragraph" w:styleId="style179">
    <w:name w:val="List Paragraph"/>
    <w:basedOn w:val="style0"/>
    <w:next w:val="style179"/>
    <w:qFormat/>
    <w:uiPriority w:val="99"/>
    <w:pPr>
      <w:ind w:firstLine="420" w:firstLineChars="200"/>
    </w:pPr>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308</TotalTime>
  <Words>845</Words>
  <Pages>3</Pages>
  <Characters>893</Characters>
  <Application>WPS Office</Application>
  <DocSecurity>0</DocSecurity>
  <Paragraphs>25</Paragraphs>
  <ScaleCrop>false</ScaleCrop>
  <LinksUpToDate>false</LinksUpToDate>
  <CharactersWithSpaces>928</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2021-01-13T12:57:00Z</dcterms:created>
  <dc:creator>顾文明</dc:creator>
  <lastModifiedBy>ANA-AN00</lastModifiedBy>
  <dcterms:modified xsi:type="dcterms:W3CDTF">2023-02-19T11:44:54Z</dcterms:modified>
  <revision>16</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08D429E80F9D418AAB65AE7CDAF7FAB1</vt:lpwstr>
  </property>
  <property fmtid="{D5CDD505-2E9C-101B-9397-08002B2CF9AE}" pid="3" name="KSOProductBuildVer">
    <vt:lpwstr>2052-11.1.0.12980</vt:lpwstr>
  </property>
</Properties>
</file>